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3666630" w14:textId="7EB19B49" w:rsidR="00AE4824" w:rsidRPr="004E64DB" w:rsidRDefault="000A3DB0" w:rsidP="004E64DB">
      <w:pPr>
        <w:pBdr>
          <w:top w:val="single" w:sz="4" w:space="1" w:color="auto"/>
          <w:left w:val="single" w:sz="4" w:space="4" w:color="auto"/>
          <w:bottom w:val="single" w:sz="4" w:space="1" w:color="auto"/>
          <w:right w:val="single" w:sz="4" w:space="4" w:color="auto"/>
          <w:between w:val="single" w:sz="4" w:space="1" w:color="auto"/>
          <w:bar w:val="single" w:sz="4" w:color="auto"/>
        </w:pBdr>
        <w:shd w:val="clear" w:color="auto" w:fill="DBDBDB" w:themeFill="accent3" w:themeFillTint="66"/>
        <w:ind w:left="-5"/>
        <w:jc w:val="both"/>
        <w:rPr>
          <w:rFonts w:ascii="Garamond" w:hAnsi="Garamond"/>
          <w:color w:val="000000" w:themeColor="text1"/>
          <w:sz w:val="20"/>
          <w:szCs w:val="20"/>
        </w:rPr>
      </w:pPr>
      <w:r w:rsidRPr="004E64DB">
        <w:rPr>
          <w:rFonts w:ascii="Garamond" w:hAnsi="Garamond"/>
          <w:color w:val="000000" w:themeColor="text1"/>
          <w:sz w:val="20"/>
          <w:szCs w:val="20"/>
        </w:rPr>
        <w:t>PUBLICATIONS</w:t>
      </w:r>
      <w:r w:rsidR="00394FEE">
        <w:rPr>
          <w:rFonts w:ascii="Garamond" w:hAnsi="Garamond"/>
          <w:color w:val="000000" w:themeColor="text1"/>
          <w:sz w:val="20"/>
          <w:szCs w:val="20"/>
        </w:rPr>
        <w:t>-Géraldine Giraudeau</w:t>
      </w:r>
    </w:p>
    <w:p w14:paraId="126CD37F" w14:textId="146F536D" w:rsidR="00F10C08" w:rsidRPr="004E64DB" w:rsidRDefault="00F10C08" w:rsidP="004E64DB">
      <w:pPr>
        <w:jc w:val="both"/>
        <w:rPr>
          <w:rFonts w:ascii="Garamond" w:hAnsi="Garamond"/>
          <w:sz w:val="20"/>
          <w:szCs w:val="20"/>
        </w:rPr>
      </w:pPr>
      <w:r w:rsidRPr="004E64DB">
        <w:rPr>
          <w:rFonts w:ascii="Garamond" w:hAnsi="Garamond"/>
          <w:sz w:val="20"/>
          <w:szCs w:val="20"/>
        </w:rPr>
        <w:t>Principaux thèmes de recherche : droit international général, territoire, droit de la mer, outre-mer, Pacifique.</w:t>
      </w:r>
    </w:p>
    <w:p w14:paraId="693E2057" w14:textId="77777777" w:rsidR="00F10C08" w:rsidRPr="004E64DB" w:rsidRDefault="00F10C08" w:rsidP="004E64DB">
      <w:pPr>
        <w:jc w:val="both"/>
        <w:rPr>
          <w:rFonts w:ascii="Garamond" w:hAnsi="Garamond"/>
          <w:sz w:val="20"/>
          <w:szCs w:val="20"/>
          <w:u w:val="single"/>
        </w:rPr>
      </w:pPr>
    </w:p>
    <w:p w14:paraId="0A6AF996" w14:textId="73FA6D40" w:rsidR="0061702A" w:rsidRPr="004E64DB" w:rsidRDefault="00155293" w:rsidP="004E64DB">
      <w:pPr>
        <w:jc w:val="both"/>
        <w:rPr>
          <w:rFonts w:ascii="Garamond" w:hAnsi="Garamond"/>
          <w:sz w:val="20"/>
          <w:szCs w:val="20"/>
          <w:u w:val="single"/>
        </w:rPr>
      </w:pPr>
      <w:r w:rsidRPr="004E64DB">
        <w:rPr>
          <w:rFonts w:ascii="Garamond" w:hAnsi="Garamond"/>
          <w:sz w:val="20"/>
          <w:szCs w:val="20"/>
          <w:u w:val="single"/>
        </w:rPr>
        <w:t>Ouvrages</w:t>
      </w:r>
    </w:p>
    <w:p w14:paraId="44F5A12B" w14:textId="77777777" w:rsidR="0061702A" w:rsidRPr="004E64DB" w:rsidRDefault="0061702A" w:rsidP="004E64DB">
      <w:pPr>
        <w:jc w:val="both"/>
        <w:rPr>
          <w:rFonts w:ascii="Garamond" w:hAnsi="Garamond"/>
          <w:sz w:val="20"/>
          <w:szCs w:val="20"/>
          <w:u w:val="single"/>
        </w:rPr>
      </w:pPr>
    </w:p>
    <w:p w14:paraId="1E34D8DF" w14:textId="0E58F2F8" w:rsidR="0061702A" w:rsidRPr="004E64DB" w:rsidRDefault="00904BFF" w:rsidP="004E64DB">
      <w:pPr>
        <w:jc w:val="both"/>
        <w:rPr>
          <w:rFonts w:ascii="Garamond" w:hAnsi="Garamond"/>
          <w:sz w:val="20"/>
          <w:szCs w:val="20"/>
        </w:rPr>
      </w:pPr>
      <w:r w:rsidRPr="004E64DB">
        <w:rPr>
          <w:rFonts w:ascii="Garamond" w:hAnsi="Garamond"/>
          <w:sz w:val="20"/>
          <w:szCs w:val="20"/>
        </w:rPr>
        <w:t xml:space="preserve">6. </w:t>
      </w:r>
      <w:r w:rsidR="0061702A" w:rsidRPr="004E64DB">
        <w:rPr>
          <w:rFonts w:ascii="Garamond" w:hAnsi="Garamond"/>
          <w:sz w:val="20"/>
          <w:szCs w:val="20"/>
        </w:rPr>
        <w:t>G. Giraudeau et M. Maisonneuve</w:t>
      </w:r>
      <w:r w:rsidRPr="004E64DB">
        <w:rPr>
          <w:rFonts w:ascii="Garamond" w:hAnsi="Garamond"/>
          <w:sz w:val="20"/>
          <w:szCs w:val="20"/>
        </w:rPr>
        <w:t xml:space="preserve"> (</w:t>
      </w:r>
      <w:proofErr w:type="spellStart"/>
      <w:r w:rsidRPr="004E64DB">
        <w:rPr>
          <w:rFonts w:ascii="Garamond" w:hAnsi="Garamond"/>
          <w:sz w:val="20"/>
          <w:szCs w:val="20"/>
        </w:rPr>
        <w:t>dir</w:t>
      </w:r>
      <w:proofErr w:type="spellEnd"/>
      <w:r w:rsidRPr="004E64DB">
        <w:rPr>
          <w:rFonts w:ascii="Garamond" w:hAnsi="Garamond"/>
          <w:sz w:val="20"/>
          <w:szCs w:val="20"/>
        </w:rPr>
        <w:t>.)</w:t>
      </w:r>
      <w:r w:rsidR="0061702A" w:rsidRPr="004E64DB">
        <w:rPr>
          <w:rFonts w:ascii="Garamond" w:hAnsi="Garamond"/>
          <w:sz w:val="20"/>
          <w:szCs w:val="20"/>
        </w:rPr>
        <w:t xml:space="preserve">, </w:t>
      </w:r>
      <w:r w:rsidR="0061702A" w:rsidRPr="004E64DB">
        <w:rPr>
          <w:rFonts w:ascii="Garamond" w:hAnsi="Garamond"/>
          <w:i/>
          <w:iCs/>
          <w:sz w:val="20"/>
          <w:szCs w:val="20"/>
        </w:rPr>
        <w:t xml:space="preserve">Dictionnaire </w:t>
      </w:r>
      <w:r w:rsidR="00C35EFE" w:rsidRPr="004E64DB">
        <w:rPr>
          <w:rFonts w:ascii="Garamond" w:hAnsi="Garamond"/>
          <w:i/>
          <w:iCs/>
          <w:sz w:val="20"/>
          <w:szCs w:val="20"/>
        </w:rPr>
        <w:t xml:space="preserve">juridique </w:t>
      </w:r>
      <w:r w:rsidR="0061702A" w:rsidRPr="004E64DB">
        <w:rPr>
          <w:rFonts w:ascii="Garamond" w:hAnsi="Garamond"/>
          <w:i/>
          <w:iCs/>
          <w:sz w:val="20"/>
          <w:szCs w:val="20"/>
        </w:rPr>
        <w:t>des Outre-mer</w:t>
      </w:r>
      <w:r w:rsidR="0061702A" w:rsidRPr="004E64DB">
        <w:rPr>
          <w:rFonts w:ascii="Garamond" w:hAnsi="Garamond"/>
          <w:sz w:val="20"/>
          <w:szCs w:val="20"/>
        </w:rPr>
        <w:t xml:space="preserve">, </w:t>
      </w:r>
      <w:proofErr w:type="spellStart"/>
      <w:r w:rsidR="0061702A" w:rsidRPr="004E64DB">
        <w:rPr>
          <w:rFonts w:ascii="Garamond" w:hAnsi="Garamond"/>
          <w:sz w:val="20"/>
          <w:szCs w:val="20"/>
        </w:rPr>
        <w:t>Lexisnexis</w:t>
      </w:r>
      <w:proofErr w:type="spellEnd"/>
      <w:r w:rsidR="0061702A" w:rsidRPr="004E64DB">
        <w:rPr>
          <w:rFonts w:ascii="Garamond" w:hAnsi="Garamond"/>
          <w:sz w:val="20"/>
          <w:szCs w:val="20"/>
        </w:rPr>
        <w:t xml:space="preserve">, </w:t>
      </w:r>
      <w:r w:rsidR="00C05CCD" w:rsidRPr="004E64DB">
        <w:rPr>
          <w:rFonts w:ascii="Garamond" w:hAnsi="Garamond"/>
          <w:sz w:val="20"/>
          <w:szCs w:val="20"/>
        </w:rPr>
        <w:t>2021, 544</w:t>
      </w:r>
      <w:r w:rsidR="0061702A" w:rsidRPr="004E64DB">
        <w:rPr>
          <w:rFonts w:ascii="Garamond" w:hAnsi="Garamond"/>
          <w:sz w:val="20"/>
          <w:szCs w:val="20"/>
        </w:rPr>
        <w:t xml:space="preserve"> p.</w:t>
      </w:r>
    </w:p>
    <w:p w14:paraId="6C70AC37" w14:textId="77777777" w:rsidR="0061702A" w:rsidRPr="004E64DB" w:rsidRDefault="0061702A" w:rsidP="004E64DB">
      <w:pPr>
        <w:jc w:val="both"/>
        <w:rPr>
          <w:rFonts w:ascii="Garamond" w:hAnsi="Garamond"/>
          <w:sz w:val="20"/>
          <w:szCs w:val="20"/>
          <w:u w:val="single"/>
        </w:rPr>
      </w:pPr>
    </w:p>
    <w:p w14:paraId="398BA594" w14:textId="061A37E7" w:rsidR="0061702A" w:rsidRPr="004E64DB" w:rsidRDefault="00904BFF" w:rsidP="004E64DB">
      <w:pPr>
        <w:jc w:val="both"/>
        <w:rPr>
          <w:rFonts w:ascii="Garamond" w:hAnsi="Garamond"/>
          <w:sz w:val="20"/>
          <w:szCs w:val="20"/>
        </w:rPr>
      </w:pPr>
      <w:r w:rsidRPr="004E64DB">
        <w:rPr>
          <w:rFonts w:ascii="Garamond" w:hAnsi="Garamond"/>
          <w:sz w:val="20"/>
          <w:szCs w:val="20"/>
        </w:rPr>
        <w:t xml:space="preserve">5. </w:t>
      </w:r>
      <w:r w:rsidR="0061702A" w:rsidRPr="004E64DB">
        <w:rPr>
          <w:rFonts w:ascii="Garamond" w:hAnsi="Garamond"/>
          <w:sz w:val="20"/>
          <w:szCs w:val="20"/>
        </w:rPr>
        <w:t>(</w:t>
      </w:r>
      <w:proofErr w:type="spellStart"/>
      <w:r w:rsidR="0061702A" w:rsidRPr="004E64DB">
        <w:rPr>
          <w:rFonts w:ascii="Garamond" w:hAnsi="Garamond"/>
          <w:sz w:val="20"/>
          <w:szCs w:val="20"/>
        </w:rPr>
        <w:t>Dir</w:t>
      </w:r>
      <w:proofErr w:type="spellEnd"/>
      <w:r w:rsidR="0061702A" w:rsidRPr="004E64DB">
        <w:rPr>
          <w:rFonts w:ascii="Garamond" w:hAnsi="Garamond"/>
          <w:sz w:val="20"/>
          <w:szCs w:val="20"/>
        </w:rPr>
        <w:t xml:space="preserve">.), </w:t>
      </w:r>
      <w:r w:rsidR="0061702A" w:rsidRPr="004E64DB">
        <w:rPr>
          <w:rFonts w:ascii="Garamond" w:hAnsi="Garamond"/>
          <w:i/>
          <w:iCs/>
          <w:sz w:val="20"/>
          <w:szCs w:val="20"/>
        </w:rPr>
        <w:t>Les enjeux territoriaux du Pacifique. Actes du colloque des 3 et 4 juillet 2017</w:t>
      </w:r>
      <w:r w:rsidR="0061702A" w:rsidRPr="004E64DB">
        <w:rPr>
          <w:rFonts w:ascii="Garamond" w:hAnsi="Garamond"/>
          <w:sz w:val="20"/>
          <w:szCs w:val="20"/>
        </w:rPr>
        <w:t xml:space="preserve">, PUNC, </w:t>
      </w:r>
      <w:r w:rsidR="00E45C20" w:rsidRPr="004E64DB">
        <w:rPr>
          <w:rFonts w:ascii="Garamond" w:hAnsi="Garamond"/>
          <w:sz w:val="20"/>
          <w:szCs w:val="20"/>
        </w:rPr>
        <w:t>2021, 255 p.</w:t>
      </w:r>
    </w:p>
    <w:p w14:paraId="3D5BF250" w14:textId="77777777" w:rsidR="00155293" w:rsidRPr="004E64DB" w:rsidRDefault="00155293" w:rsidP="004E64DB">
      <w:pPr>
        <w:jc w:val="both"/>
        <w:rPr>
          <w:rFonts w:ascii="Garamond" w:hAnsi="Garamond"/>
          <w:sz w:val="20"/>
          <w:szCs w:val="20"/>
        </w:rPr>
      </w:pPr>
      <w:r w:rsidRPr="004E64DB">
        <w:rPr>
          <w:rFonts w:ascii="Garamond" w:hAnsi="Garamond"/>
          <w:sz w:val="20"/>
          <w:szCs w:val="20"/>
        </w:rPr>
        <w:br/>
      </w:r>
      <w:r w:rsidR="0061702A" w:rsidRPr="004E64DB">
        <w:rPr>
          <w:rFonts w:ascii="Garamond" w:hAnsi="Garamond"/>
          <w:sz w:val="20"/>
          <w:szCs w:val="20"/>
        </w:rPr>
        <w:t xml:space="preserve">4. </w:t>
      </w:r>
      <w:proofErr w:type="spellStart"/>
      <w:r w:rsidRPr="004E64DB">
        <w:rPr>
          <w:rFonts w:ascii="Garamond" w:hAnsi="Garamond"/>
          <w:sz w:val="20"/>
          <w:szCs w:val="20"/>
        </w:rPr>
        <w:t>Larje</w:t>
      </w:r>
      <w:proofErr w:type="spellEnd"/>
      <w:r w:rsidRPr="004E64DB">
        <w:rPr>
          <w:rFonts w:ascii="Garamond" w:hAnsi="Garamond"/>
          <w:sz w:val="20"/>
          <w:szCs w:val="20"/>
        </w:rPr>
        <w:t xml:space="preserve">, </w:t>
      </w:r>
      <w:r w:rsidRPr="004E64DB">
        <w:rPr>
          <w:rFonts w:ascii="Garamond" w:hAnsi="Garamond"/>
          <w:i/>
          <w:iCs/>
          <w:sz w:val="20"/>
          <w:szCs w:val="20"/>
        </w:rPr>
        <w:t xml:space="preserve">L’avenir institutionnel de la </w:t>
      </w:r>
      <w:proofErr w:type="spellStart"/>
      <w:r w:rsidRPr="004E64DB">
        <w:rPr>
          <w:rFonts w:ascii="Garamond" w:hAnsi="Garamond"/>
          <w:i/>
          <w:iCs/>
          <w:sz w:val="20"/>
          <w:szCs w:val="20"/>
        </w:rPr>
        <w:t>Nouvelle-Calédonie</w:t>
      </w:r>
      <w:proofErr w:type="spellEnd"/>
      <w:r w:rsidRPr="004E64DB">
        <w:rPr>
          <w:rFonts w:ascii="Garamond" w:hAnsi="Garamond"/>
          <w:sz w:val="20"/>
          <w:szCs w:val="20"/>
        </w:rPr>
        <w:t xml:space="preserve">, PUNC, 2018, 288 p. </w:t>
      </w:r>
    </w:p>
    <w:p w14:paraId="0B6BAED9" w14:textId="77777777" w:rsidR="0061702A" w:rsidRPr="004E64DB" w:rsidRDefault="0061702A" w:rsidP="004E64DB">
      <w:pPr>
        <w:jc w:val="both"/>
        <w:rPr>
          <w:rFonts w:ascii="Garamond" w:hAnsi="Garamond"/>
          <w:sz w:val="20"/>
          <w:szCs w:val="20"/>
        </w:rPr>
      </w:pPr>
    </w:p>
    <w:p w14:paraId="3D1F6EC2" w14:textId="77777777" w:rsidR="00155293" w:rsidRPr="004E64DB" w:rsidRDefault="0061702A" w:rsidP="004E64DB">
      <w:pPr>
        <w:jc w:val="both"/>
        <w:rPr>
          <w:rFonts w:ascii="Garamond" w:hAnsi="Garamond"/>
          <w:sz w:val="20"/>
          <w:szCs w:val="20"/>
        </w:rPr>
      </w:pPr>
      <w:r w:rsidRPr="004E64DB">
        <w:rPr>
          <w:rFonts w:ascii="Garamond" w:hAnsi="Garamond"/>
          <w:sz w:val="20"/>
          <w:szCs w:val="20"/>
        </w:rPr>
        <w:t xml:space="preserve">3. </w:t>
      </w:r>
      <w:r w:rsidR="00155293" w:rsidRPr="004E64DB">
        <w:rPr>
          <w:rFonts w:ascii="Garamond" w:hAnsi="Garamond"/>
          <w:sz w:val="20"/>
          <w:szCs w:val="20"/>
        </w:rPr>
        <w:t xml:space="preserve">G. Giraudeau, C. </w:t>
      </w:r>
      <w:proofErr w:type="spellStart"/>
      <w:r w:rsidR="00155293" w:rsidRPr="004E64DB">
        <w:rPr>
          <w:rFonts w:ascii="Garamond" w:hAnsi="Garamond"/>
          <w:sz w:val="20"/>
          <w:szCs w:val="20"/>
        </w:rPr>
        <w:t>Guerin-Bargues</w:t>
      </w:r>
      <w:proofErr w:type="spellEnd"/>
      <w:r w:rsidR="00155293" w:rsidRPr="004E64DB">
        <w:rPr>
          <w:rFonts w:ascii="Garamond" w:hAnsi="Garamond"/>
          <w:sz w:val="20"/>
          <w:szCs w:val="20"/>
        </w:rPr>
        <w:t xml:space="preserve">, N. </w:t>
      </w:r>
      <w:proofErr w:type="spellStart"/>
      <w:r w:rsidR="00155293" w:rsidRPr="004E64DB">
        <w:rPr>
          <w:rFonts w:ascii="Garamond" w:hAnsi="Garamond"/>
          <w:sz w:val="20"/>
          <w:szCs w:val="20"/>
        </w:rPr>
        <w:t>Haupais</w:t>
      </w:r>
      <w:proofErr w:type="spellEnd"/>
      <w:r w:rsidR="00155293" w:rsidRPr="004E64DB">
        <w:rPr>
          <w:rFonts w:ascii="Garamond" w:hAnsi="Garamond"/>
          <w:sz w:val="20"/>
          <w:szCs w:val="20"/>
        </w:rPr>
        <w:t xml:space="preserve"> (</w:t>
      </w:r>
      <w:proofErr w:type="spellStart"/>
      <w:r w:rsidR="00155293" w:rsidRPr="004E64DB">
        <w:rPr>
          <w:rFonts w:ascii="Garamond" w:hAnsi="Garamond"/>
          <w:sz w:val="20"/>
          <w:szCs w:val="20"/>
        </w:rPr>
        <w:t>dir</w:t>
      </w:r>
      <w:proofErr w:type="spellEnd"/>
      <w:r w:rsidR="00155293" w:rsidRPr="004E64DB">
        <w:rPr>
          <w:rFonts w:ascii="Garamond" w:hAnsi="Garamond"/>
          <w:sz w:val="20"/>
          <w:szCs w:val="20"/>
        </w:rPr>
        <w:t xml:space="preserve">.), </w:t>
      </w:r>
      <w:r w:rsidR="00155293" w:rsidRPr="004E64DB">
        <w:rPr>
          <w:rFonts w:ascii="Garamond" w:hAnsi="Garamond"/>
          <w:i/>
          <w:iCs/>
          <w:sz w:val="20"/>
          <w:szCs w:val="20"/>
        </w:rPr>
        <w:t>Le fait religieux dans la construction de l’</w:t>
      </w:r>
      <w:proofErr w:type="spellStart"/>
      <w:r w:rsidR="00155293" w:rsidRPr="004E64DB">
        <w:rPr>
          <w:rFonts w:ascii="Garamond" w:hAnsi="Garamond"/>
          <w:i/>
          <w:iCs/>
          <w:sz w:val="20"/>
          <w:szCs w:val="20"/>
        </w:rPr>
        <w:t>Etat</w:t>
      </w:r>
      <w:proofErr w:type="spellEnd"/>
      <w:r w:rsidR="00155293" w:rsidRPr="004E64DB">
        <w:rPr>
          <w:rFonts w:ascii="Garamond" w:hAnsi="Garamond"/>
          <w:sz w:val="20"/>
          <w:szCs w:val="20"/>
        </w:rPr>
        <w:t>, Actes du colloque d’</w:t>
      </w:r>
      <w:proofErr w:type="spellStart"/>
      <w:r w:rsidR="00155293" w:rsidRPr="004E64DB">
        <w:rPr>
          <w:rFonts w:ascii="Garamond" w:hAnsi="Garamond"/>
          <w:sz w:val="20"/>
          <w:szCs w:val="20"/>
        </w:rPr>
        <w:t>Orléans</w:t>
      </w:r>
      <w:proofErr w:type="spellEnd"/>
      <w:r w:rsidR="00155293" w:rsidRPr="004E64DB">
        <w:rPr>
          <w:rFonts w:ascii="Garamond" w:hAnsi="Garamond"/>
          <w:sz w:val="20"/>
          <w:szCs w:val="20"/>
        </w:rPr>
        <w:t xml:space="preserve"> de juin 2014, Paris, </w:t>
      </w:r>
      <w:proofErr w:type="spellStart"/>
      <w:r w:rsidR="00155293" w:rsidRPr="004E64DB">
        <w:rPr>
          <w:rFonts w:ascii="Garamond" w:hAnsi="Garamond"/>
          <w:sz w:val="20"/>
          <w:szCs w:val="20"/>
        </w:rPr>
        <w:t>Pedone</w:t>
      </w:r>
      <w:proofErr w:type="spellEnd"/>
      <w:r w:rsidR="00155293" w:rsidRPr="004E64DB">
        <w:rPr>
          <w:rFonts w:ascii="Garamond" w:hAnsi="Garamond"/>
          <w:sz w:val="20"/>
          <w:szCs w:val="20"/>
        </w:rPr>
        <w:t xml:space="preserve">, 2016, 273 p. </w:t>
      </w:r>
    </w:p>
    <w:p w14:paraId="79E8DD98" w14:textId="77777777" w:rsidR="0061702A" w:rsidRPr="004E64DB" w:rsidRDefault="0061702A" w:rsidP="004E64DB">
      <w:pPr>
        <w:jc w:val="both"/>
        <w:rPr>
          <w:rFonts w:ascii="Garamond" w:hAnsi="Garamond"/>
          <w:sz w:val="20"/>
          <w:szCs w:val="20"/>
        </w:rPr>
      </w:pPr>
    </w:p>
    <w:p w14:paraId="7589F73E" w14:textId="77777777" w:rsidR="00155293" w:rsidRPr="004E64DB" w:rsidRDefault="0061702A" w:rsidP="004E64DB">
      <w:pPr>
        <w:jc w:val="both"/>
        <w:rPr>
          <w:rFonts w:ascii="Garamond" w:hAnsi="Garamond"/>
          <w:i/>
          <w:iCs/>
          <w:sz w:val="20"/>
          <w:szCs w:val="20"/>
        </w:rPr>
      </w:pPr>
      <w:r w:rsidRPr="004E64DB">
        <w:rPr>
          <w:rFonts w:ascii="Garamond" w:hAnsi="Garamond"/>
          <w:sz w:val="20"/>
          <w:szCs w:val="20"/>
        </w:rPr>
        <w:t>2.</w:t>
      </w:r>
      <w:r w:rsidRPr="004E64DB">
        <w:rPr>
          <w:rFonts w:ascii="Garamond" w:hAnsi="Garamond"/>
          <w:i/>
          <w:iCs/>
          <w:sz w:val="20"/>
          <w:szCs w:val="20"/>
        </w:rPr>
        <w:t xml:space="preserve"> </w:t>
      </w:r>
      <w:r w:rsidR="00155293" w:rsidRPr="004E64DB">
        <w:rPr>
          <w:rFonts w:ascii="Garamond" w:hAnsi="Garamond"/>
          <w:i/>
          <w:iCs/>
          <w:sz w:val="20"/>
          <w:szCs w:val="20"/>
        </w:rPr>
        <w:t>(</w:t>
      </w:r>
      <w:proofErr w:type="spellStart"/>
      <w:r w:rsidR="00155293" w:rsidRPr="004E64DB">
        <w:rPr>
          <w:rFonts w:ascii="Garamond" w:hAnsi="Garamond"/>
          <w:i/>
          <w:iCs/>
          <w:sz w:val="20"/>
          <w:szCs w:val="20"/>
        </w:rPr>
        <w:t>Dir</w:t>
      </w:r>
      <w:proofErr w:type="spellEnd"/>
      <w:r w:rsidR="00155293" w:rsidRPr="004E64DB">
        <w:rPr>
          <w:rFonts w:ascii="Garamond" w:hAnsi="Garamond"/>
          <w:i/>
          <w:iCs/>
          <w:sz w:val="20"/>
          <w:szCs w:val="20"/>
        </w:rPr>
        <w:t xml:space="preserve">.) : La </w:t>
      </w:r>
      <w:proofErr w:type="spellStart"/>
      <w:r w:rsidR="00155293" w:rsidRPr="004E64DB">
        <w:rPr>
          <w:rFonts w:ascii="Garamond" w:hAnsi="Garamond"/>
          <w:i/>
          <w:iCs/>
          <w:sz w:val="20"/>
          <w:szCs w:val="20"/>
        </w:rPr>
        <w:t>réforme</w:t>
      </w:r>
      <w:proofErr w:type="spellEnd"/>
      <w:r w:rsidR="00155293" w:rsidRPr="004E64DB">
        <w:rPr>
          <w:rFonts w:ascii="Garamond" w:hAnsi="Garamond"/>
          <w:i/>
          <w:iCs/>
          <w:sz w:val="20"/>
          <w:szCs w:val="20"/>
        </w:rPr>
        <w:t xml:space="preserve"> des organisations </w:t>
      </w:r>
      <w:proofErr w:type="spellStart"/>
      <w:r w:rsidR="00155293" w:rsidRPr="004E64DB">
        <w:rPr>
          <w:rFonts w:ascii="Garamond" w:hAnsi="Garamond"/>
          <w:i/>
          <w:iCs/>
          <w:sz w:val="20"/>
          <w:szCs w:val="20"/>
        </w:rPr>
        <w:t>économiques</w:t>
      </w:r>
      <w:proofErr w:type="spellEnd"/>
      <w:r w:rsidR="00155293" w:rsidRPr="004E64DB">
        <w:rPr>
          <w:rFonts w:ascii="Garamond" w:hAnsi="Garamond"/>
          <w:i/>
          <w:iCs/>
          <w:sz w:val="20"/>
          <w:szCs w:val="20"/>
        </w:rPr>
        <w:t xml:space="preserve"> internationales face </w:t>
      </w:r>
      <w:proofErr w:type="spellStart"/>
      <w:r w:rsidR="00155293" w:rsidRPr="004E64DB">
        <w:rPr>
          <w:rFonts w:ascii="Garamond" w:hAnsi="Garamond"/>
          <w:i/>
          <w:iCs/>
          <w:sz w:val="20"/>
          <w:szCs w:val="20"/>
        </w:rPr>
        <w:t>a</w:t>
      </w:r>
      <w:proofErr w:type="spellEnd"/>
      <w:r w:rsidR="00155293" w:rsidRPr="004E64DB">
        <w:rPr>
          <w:rFonts w:ascii="Garamond" w:hAnsi="Garamond"/>
          <w:i/>
          <w:iCs/>
          <w:sz w:val="20"/>
          <w:szCs w:val="20"/>
        </w:rPr>
        <w:t xml:space="preserve">̀ la globalisation, </w:t>
      </w:r>
      <w:proofErr w:type="spellStart"/>
      <w:r w:rsidR="00155293" w:rsidRPr="004E64DB">
        <w:rPr>
          <w:rFonts w:ascii="Garamond" w:hAnsi="Garamond"/>
          <w:i/>
          <w:iCs/>
          <w:sz w:val="20"/>
          <w:szCs w:val="20"/>
        </w:rPr>
        <w:t>Journée</w:t>
      </w:r>
      <w:proofErr w:type="spellEnd"/>
      <w:r w:rsidR="00155293" w:rsidRPr="004E64DB">
        <w:rPr>
          <w:rFonts w:ascii="Garamond" w:hAnsi="Garamond"/>
          <w:i/>
          <w:iCs/>
          <w:sz w:val="20"/>
          <w:szCs w:val="20"/>
        </w:rPr>
        <w:t xml:space="preserve"> franco-espagnole</w:t>
      </w:r>
      <w:r w:rsidR="00155293" w:rsidRPr="004E64DB">
        <w:rPr>
          <w:rFonts w:ascii="Garamond" w:hAnsi="Garamond"/>
          <w:sz w:val="20"/>
          <w:szCs w:val="20"/>
        </w:rPr>
        <w:t>, Paris, Mare et Martin</w:t>
      </w:r>
      <w:r w:rsidR="00155293" w:rsidRPr="004E64DB">
        <w:rPr>
          <w:rFonts w:ascii="Garamond" w:hAnsi="Garamond"/>
          <w:i/>
          <w:iCs/>
          <w:sz w:val="20"/>
          <w:szCs w:val="20"/>
        </w:rPr>
        <w:t xml:space="preserve">, </w:t>
      </w:r>
      <w:r w:rsidR="00155293" w:rsidRPr="004E64DB">
        <w:rPr>
          <w:rFonts w:ascii="Garamond" w:hAnsi="Garamond"/>
          <w:sz w:val="20"/>
          <w:szCs w:val="20"/>
        </w:rPr>
        <w:t>2015</w:t>
      </w:r>
      <w:r w:rsidR="00155293" w:rsidRPr="004E64DB">
        <w:rPr>
          <w:rFonts w:ascii="Garamond" w:hAnsi="Garamond"/>
          <w:i/>
          <w:iCs/>
          <w:sz w:val="20"/>
          <w:szCs w:val="20"/>
        </w:rPr>
        <w:t xml:space="preserve">, </w:t>
      </w:r>
      <w:r w:rsidR="00155293" w:rsidRPr="004E64DB">
        <w:rPr>
          <w:rFonts w:ascii="Garamond" w:hAnsi="Garamond"/>
          <w:sz w:val="20"/>
          <w:szCs w:val="20"/>
        </w:rPr>
        <w:t>202 p</w:t>
      </w:r>
      <w:r w:rsidR="00155293" w:rsidRPr="004E64DB">
        <w:rPr>
          <w:rFonts w:ascii="Garamond" w:hAnsi="Garamond"/>
          <w:i/>
          <w:iCs/>
          <w:sz w:val="20"/>
          <w:szCs w:val="20"/>
        </w:rPr>
        <w:t xml:space="preserve">. </w:t>
      </w:r>
    </w:p>
    <w:p w14:paraId="48DEFC6F" w14:textId="77777777" w:rsidR="0061702A" w:rsidRPr="004E64DB" w:rsidRDefault="0061702A" w:rsidP="004E64DB">
      <w:pPr>
        <w:jc w:val="both"/>
        <w:rPr>
          <w:rFonts w:ascii="Garamond" w:hAnsi="Garamond"/>
          <w:sz w:val="20"/>
          <w:szCs w:val="20"/>
        </w:rPr>
      </w:pPr>
    </w:p>
    <w:p w14:paraId="2D87125B" w14:textId="77777777" w:rsidR="00155293" w:rsidRPr="004E64DB" w:rsidRDefault="0061702A" w:rsidP="004E64DB">
      <w:pPr>
        <w:jc w:val="both"/>
        <w:rPr>
          <w:rFonts w:ascii="Garamond" w:hAnsi="Garamond"/>
          <w:sz w:val="20"/>
          <w:szCs w:val="20"/>
        </w:rPr>
      </w:pPr>
      <w:r w:rsidRPr="004E64DB">
        <w:rPr>
          <w:rFonts w:ascii="Garamond" w:hAnsi="Garamond"/>
          <w:sz w:val="20"/>
          <w:szCs w:val="20"/>
        </w:rPr>
        <w:t>1.</w:t>
      </w:r>
      <w:r w:rsidRPr="004E64DB">
        <w:rPr>
          <w:rFonts w:ascii="Garamond" w:hAnsi="Garamond"/>
          <w:i/>
          <w:iCs/>
          <w:sz w:val="20"/>
          <w:szCs w:val="20"/>
        </w:rPr>
        <w:t xml:space="preserve"> </w:t>
      </w:r>
      <w:r w:rsidR="00155293" w:rsidRPr="004E64DB">
        <w:rPr>
          <w:rFonts w:ascii="Garamond" w:hAnsi="Garamond"/>
          <w:i/>
          <w:iCs/>
          <w:sz w:val="20"/>
          <w:szCs w:val="20"/>
        </w:rPr>
        <w:t xml:space="preserve">Les </w:t>
      </w:r>
      <w:proofErr w:type="spellStart"/>
      <w:r w:rsidR="00155293" w:rsidRPr="004E64DB">
        <w:rPr>
          <w:rFonts w:ascii="Garamond" w:hAnsi="Garamond"/>
          <w:i/>
          <w:iCs/>
          <w:sz w:val="20"/>
          <w:szCs w:val="20"/>
        </w:rPr>
        <w:t>différends</w:t>
      </w:r>
      <w:proofErr w:type="spellEnd"/>
      <w:r w:rsidR="00155293" w:rsidRPr="004E64DB">
        <w:rPr>
          <w:rFonts w:ascii="Garamond" w:hAnsi="Garamond"/>
          <w:i/>
          <w:iCs/>
          <w:sz w:val="20"/>
          <w:szCs w:val="20"/>
        </w:rPr>
        <w:t xml:space="preserve"> territoriaux devant le juge international : entre droit et transaction</w:t>
      </w:r>
      <w:r w:rsidR="00155293" w:rsidRPr="004E64DB">
        <w:rPr>
          <w:rFonts w:ascii="Garamond" w:hAnsi="Garamond"/>
          <w:sz w:val="20"/>
          <w:szCs w:val="20"/>
        </w:rPr>
        <w:t xml:space="preserve">, </w:t>
      </w:r>
      <w:proofErr w:type="spellStart"/>
      <w:r w:rsidR="00155293" w:rsidRPr="004E64DB">
        <w:rPr>
          <w:rFonts w:ascii="Garamond" w:hAnsi="Garamond"/>
          <w:sz w:val="20"/>
          <w:szCs w:val="20"/>
        </w:rPr>
        <w:t>Leiden</w:t>
      </w:r>
      <w:proofErr w:type="spellEnd"/>
      <w:r w:rsidR="00155293" w:rsidRPr="004E64DB">
        <w:rPr>
          <w:rFonts w:ascii="Garamond" w:hAnsi="Garamond"/>
          <w:sz w:val="20"/>
          <w:szCs w:val="20"/>
        </w:rPr>
        <w:t xml:space="preserve">, </w:t>
      </w:r>
      <w:proofErr w:type="spellStart"/>
      <w:r w:rsidR="00155293" w:rsidRPr="004E64DB">
        <w:rPr>
          <w:rFonts w:ascii="Garamond" w:hAnsi="Garamond"/>
          <w:sz w:val="20"/>
          <w:szCs w:val="20"/>
        </w:rPr>
        <w:t>Martinus</w:t>
      </w:r>
      <w:proofErr w:type="spellEnd"/>
      <w:r w:rsidR="00155293" w:rsidRPr="004E64DB">
        <w:rPr>
          <w:rFonts w:ascii="Garamond" w:hAnsi="Garamond"/>
          <w:sz w:val="20"/>
          <w:szCs w:val="20"/>
        </w:rPr>
        <w:t xml:space="preserve"> </w:t>
      </w:r>
      <w:proofErr w:type="spellStart"/>
      <w:r w:rsidR="00155293" w:rsidRPr="004E64DB">
        <w:rPr>
          <w:rFonts w:ascii="Garamond" w:hAnsi="Garamond"/>
          <w:sz w:val="20"/>
          <w:szCs w:val="20"/>
        </w:rPr>
        <w:t>Nijhoff</w:t>
      </w:r>
      <w:proofErr w:type="spellEnd"/>
      <w:r w:rsidR="00155293" w:rsidRPr="004E64DB">
        <w:rPr>
          <w:rFonts w:ascii="Garamond" w:hAnsi="Garamond"/>
          <w:sz w:val="20"/>
          <w:szCs w:val="20"/>
        </w:rPr>
        <w:t xml:space="preserve"> </w:t>
      </w:r>
      <w:proofErr w:type="spellStart"/>
      <w:r w:rsidR="00155293" w:rsidRPr="004E64DB">
        <w:rPr>
          <w:rFonts w:ascii="Garamond" w:hAnsi="Garamond"/>
          <w:sz w:val="20"/>
          <w:szCs w:val="20"/>
        </w:rPr>
        <w:t>Publishers</w:t>
      </w:r>
      <w:proofErr w:type="spellEnd"/>
      <w:r w:rsidR="00155293" w:rsidRPr="004E64DB">
        <w:rPr>
          <w:rFonts w:ascii="Garamond" w:hAnsi="Garamond"/>
          <w:sz w:val="20"/>
          <w:szCs w:val="20"/>
        </w:rPr>
        <w:t xml:space="preserve">, 2013, x-547 p. </w:t>
      </w:r>
    </w:p>
    <w:p w14:paraId="29261768" w14:textId="1A5C8549" w:rsidR="00A47DE4" w:rsidRDefault="00155293" w:rsidP="004E64DB">
      <w:pPr>
        <w:spacing w:before="100" w:beforeAutospacing="1" w:after="100" w:afterAutospacing="1"/>
        <w:jc w:val="both"/>
        <w:rPr>
          <w:rFonts w:ascii="Garamond" w:hAnsi="Garamond"/>
          <w:sz w:val="20"/>
          <w:szCs w:val="20"/>
          <w:u w:val="single"/>
        </w:rPr>
      </w:pPr>
      <w:r w:rsidRPr="004E64DB">
        <w:rPr>
          <w:rFonts w:ascii="Garamond" w:hAnsi="Garamond"/>
          <w:sz w:val="20"/>
          <w:szCs w:val="20"/>
          <w:u w:val="single"/>
        </w:rPr>
        <w:t xml:space="preserve">Articles et contributions </w:t>
      </w:r>
    </w:p>
    <w:p w14:paraId="6A71F405" w14:textId="11DF3B95" w:rsidR="0078092B" w:rsidRPr="0078092B" w:rsidRDefault="0078092B" w:rsidP="004E64DB">
      <w:pPr>
        <w:spacing w:before="100" w:beforeAutospacing="1" w:after="100" w:afterAutospacing="1"/>
        <w:jc w:val="both"/>
        <w:rPr>
          <w:rFonts w:ascii="Garamond" w:hAnsi="Garamond"/>
          <w:sz w:val="20"/>
          <w:szCs w:val="20"/>
        </w:rPr>
      </w:pPr>
      <w:r w:rsidRPr="0078092B">
        <w:rPr>
          <w:rFonts w:ascii="Garamond" w:hAnsi="Garamond"/>
          <w:sz w:val="20"/>
          <w:szCs w:val="20"/>
        </w:rPr>
        <w:t>69.</w:t>
      </w:r>
      <w:r>
        <w:rPr>
          <w:rFonts w:ascii="Garamond" w:hAnsi="Garamond"/>
          <w:sz w:val="20"/>
          <w:szCs w:val="20"/>
        </w:rPr>
        <w:t xml:space="preserve"> </w:t>
      </w:r>
      <w:r w:rsidR="00737CA6">
        <w:rPr>
          <w:rFonts w:ascii="Garamond" w:hAnsi="Garamond"/>
          <w:sz w:val="20"/>
          <w:szCs w:val="20"/>
        </w:rPr>
        <w:t>« Les Outre-mer dans la stratégie française en Indopacifique », Annuaire français de relations internationales, 2022, pp. 157.</w:t>
      </w:r>
    </w:p>
    <w:p w14:paraId="2878517A" w14:textId="1CC4FE40" w:rsidR="00084D02" w:rsidRPr="00084D02" w:rsidRDefault="00084D02" w:rsidP="004E64DB">
      <w:pPr>
        <w:spacing w:before="100" w:beforeAutospacing="1" w:after="100" w:afterAutospacing="1"/>
        <w:jc w:val="both"/>
        <w:rPr>
          <w:rFonts w:ascii="Garamond" w:hAnsi="Garamond"/>
          <w:sz w:val="20"/>
          <w:szCs w:val="20"/>
          <w:lang w:val="en-US"/>
        </w:rPr>
      </w:pPr>
      <w:r w:rsidRPr="00084D02">
        <w:rPr>
          <w:rFonts w:ascii="Garamond" w:hAnsi="Garamond"/>
          <w:sz w:val="20"/>
          <w:szCs w:val="20"/>
          <w:lang w:val="en-US"/>
        </w:rPr>
        <w:t xml:space="preserve">68. « Pacific Islands in the Face of Sea Level </w:t>
      </w:r>
      <w:proofErr w:type="gramStart"/>
      <w:r w:rsidRPr="00084D02">
        <w:rPr>
          <w:rFonts w:ascii="Garamond" w:hAnsi="Garamond"/>
          <w:sz w:val="20"/>
          <w:szCs w:val="20"/>
          <w:lang w:val="en-US"/>
        </w:rPr>
        <w:t>Rise :</w:t>
      </w:r>
      <w:proofErr w:type="gramEnd"/>
      <w:r w:rsidRPr="00084D02">
        <w:rPr>
          <w:rFonts w:ascii="Garamond" w:hAnsi="Garamond"/>
          <w:sz w:val="20"/>
          <w:szCs w:val="20"/>
          <w:lang w:val="en-US"/>
        </w:rPr>
        <w:t xml:space="preserve"> </w:t>
      </w:r>
      <w:r>
        <w:rPr>
          <w:rFonts w:ascii="Garamond" w:hAnsi="Garamond"/>
          <w:sz w:val="20"/>
          <w:szCs w:val="20"/>
          <w:lang w:val="en-US"/>
        </w:rPr>
        <w:t xml:space="preserve">Some Reflections from an International Law Perspective </w:t>
      </w:r>
      <w:r w:rsidRPr="00084D02">
        <w:rPr>
          <w:rFonts w:ascii="Garamond" w:hAnsi="Garamond"/>
          <w:sz w:val="20"/>
          <w:szCs w:val="20"/>
          <w:lang w:val="en-US"/>
        </w:rPr>
        <w:t>»</w:t>
      </w:r>
      <w:r>
        <w:rPr>
          <w:rFonts w:ascii="Garamond" w:hAnsi="Garamond"/>
          <w:sz w:val="20"/>
          <w:szCs w:val="20"/>
          <w:lang w:val="en-US"/>
        </w:rPr>
        <w:t xml:space="preserve">, </w:t>
      </w:r>
      <w:proofErr w:type="spellStart"/>
      <w:r w:rsidRPr="00084D02">
        <w:rPr>
          <w:rFonts w:ascii="Garamond" w:hAnsi="Garamond"/>
          <w:i/>
          <w:iCs/>
          <w:sz w:val="20"/>
          <w:szCs w:val="20"/>
          <w:lang w:val="en-US"/>
        </w:rPr>
        <w:t>Anuario</w:t>
      </w:r>
      <w:proofErr w:type="spellEnd"/>
      <w:r w:rsidRPr="00084D02">
        <w:rPr>
          <w:rFonts w:ascii="Garamond" w:hAnsi="Garamond"/>
          <w:i/>
          <w:iCs/>
          <w:sz w:val="20"/>
          <w:szCs w:val="20"/>
          <w:lang w:val="en-US"/>
        </w:rPr>
        <w:t xml:space="preserve"> </w:t>
      </w:r>
      <w:proofErr w:type="spellStart"/>
      <w:r w:rsidRPr="00084D02">
        <w:rPr>
          <w:rFonts w:ascii="Garamond" w:hAnsi="Garamond"/>
          <w:i/>
          <w:iCs/>
          <w:sz w:val="20"/>
          <w:szCs w:val="20"/>
          <w:lang w:val="en-US"/>
        </w:rPr>
        <w:t>Español</w:t>
      </w:r>
      <w:proofErr w:type="spellEnd"/>
      <w:r w:rsidRPr="00084D02">
        <w:rPr>
          <w:rFonts w:ascii="Garamond" w:hAnsi="Garamond"/>
          <w:i/>
          <w:iCs/>
          <w:sz w:val="20"/>
          <w:szCs w:val="20"/>
          <w:lang w:val="en-US"/>
        </w:rPr>
        <w:t xml:space="preserve"> de Derecho </w:t>
      </w:r>
      <w:proofErr w:type="spellStart"/>
      <w:r w:rsidRPr="00084D02">
        <w:rPr>
          <w:rFonts w:ascii="Garamond" w:hAnsi="Garamond"/>
          <w:i/>
          <w:iCs/>
          <w:sz w:val="20"/>
          <w:szCs w:val="20"/>
          <w:lang w:val="en-US"/>
        </w:rPr>
        <w:t>Internacional</w:t>
      </w:r>
      <w:proofErr w:type="spellEnd"/>
      <w:r>
        <w:rPr>
          <w:rFonts w:ascii="Garamond" w:hAnsi="Garamond"/>
          <w:sz w:val="20"/>
          <w:szCs w:val="20"/>
          <w:lang w:val="en-US"/>
        </w:rPr>
        <w:t>, vol. 38 (2022), pp. 425-452.</w:t>
      </w:r>
    </w:p>
    <w:p w14:paraId="26131C01" w14:textId="6EF25F56" w:rsidR="00AC552F" w:rsidRPr="00AC552F" w:rsidRDefault="00AC552F" w:rsidP="004E64DB">
      <w:pPr>
        <w:spacing w:before="100" w:beforeAutospacing="1" w:after="100" w:afterAutospacing="1"/>
        <w:jc w:val="both"/>
        <w:rPr>
          <w:rFonts w:ascii="Garamond" w:hAnsi="Garamond"/>
          <w:sz w:val="20"/>
          <w:szCs w:val="20"/>
        </w:rPr>
      </w:pPr>
      <w:r w:rsidRPr="00AC552F">
        <w:rPr>
          <w:rFonts w:ascii="Garamond" w:hAnsi="Garamond"/>
          <w:sz w:val="20"/>
          <w:szCs w:val="20"/>
        </w:rPr>
        <w:t xml:space="preserve">67. </w:t>
      </w:r>
      <w:r>
        <w:rPr>
          <w:rFonts w:ascii="Garamond" w:hAnsi="Garamond"/>
          <w:sz w:val="20"/>
          <w:szCs w:val="20"/>
        </w:rPr>
        <w:t>Avec S. Robert-</w:t>
      </w:r>
      <w:proofErr w:type="spellStart"/>
      <w:r>
        <w:rPr>
          <w:rFonts w:ascii="Garamond" w:hAnsi="Garamond"/>
          <w:sz w:val="20"/>
          <w:szCs w:val="20"/>
        </w:rPr>
        <w:t>Cuendet</w:t>
      </w:r>
      <w:proofErr w:type="spellEnd"/>
      <w:r>
        <w:rPr>
          <w:rFonts w:ascii="Garamond" w:hAnsi="Garamond"/>
          <w:sz w:val="20"/>
          <w:szCs w:val="20"/>
        </w:rPr>
        <w:t>, refonte de l’entrée « Plateau continental », Dalloz, Répertoire de droit international, 2022-1, 13 p.</w:t>
      </w:r>
    </w:p>
    <w:p w14:paraId="07464EFE" w14:textId="25E89499" w:rsidR="00021E7A" w:rsidRPr="00021E7A" w:rsidRDefault="00021E7A" w:rsidP="004E64DB">
      <w:pPr>
        <w:spacing w:before="100" w:beforeAutospacing="1" w:after="100" w:afterAutospacing="1"/>
        <w:jc w:val="both"/>
        <w:rPr>
          <w:rFonts w:ascii="Garamond" w:hAnsi="Garamond"/>
          <w:sz w:val="20"/>
          <w:szCs w:val="20"/>
        </w:rPr>
      </w:pPr>
      <w:r>
        <w:rPr>
          <w:rFonts w:ascii="Garamond" w:hAnsi="Garamond"/>
          <w:sz w:val="20"/>
          <w:szCs w:val="20"/>
        </w:rPr>
        <w:t>6</w:t>
      </w:r>
      <w:r w:rsidR="005650BE">
        <w:rPr>
          <w:rFonts w:ascii="Garamond" w:hAnsi="Garamond"/>
          <w:sz w:val="20"/>
          <w:szCs w:val="20"/>
        </w:rPr>
        <w:t>6</w:t>
      </w:r>
      <w:r>
        <w:rPr>
          <w:rFonts w:ascii="Garamond" w:hAnsi="Garamond"/>
          <w:sz w:val="20"/>
          <w:szCs w:val="20"/>
        </w:rPr>
        <w:t xml:space="preserve">. G. Giraudeau et W. </w:t>
      </w:r>
      <w:proofErr w:type="spellStart"/>
      <w:r>
        <w:rPr>
          <w:rFonts w:ascii="Garamond" w:hAnsi="Garamond"/>
          <w:sz w:val="20"/>
          <w:szCs w:val="20"/>
        </w:rPr>
        <w:t>Seddik</w:t>
      </w:r>
      <w:proofErr w:type="spellEnd"/>
      <w:r>
        <w:rPr>
          <w:rFonts w:ascii="Garamond" w:hAnsi="Garamond"/>
          <w:sz w:val="20"/>
          <w:szCs w:val="20"/>
        </w:rPr>
        <w:t xml:space="preserve">, « Le différend territorial entre la France et le Vanuatu sur les îlots Matthew et Hunter : du condominium des Nouvelles-Hébrides aux frontières maritimes du Pacifique Sud », </w:t>
      </w:r>
      <w:r w:rsidR="00A47DE4">
        <w:rPr>
          <w:rFonts w:ascii="Garamond" w:hAnsi="Garamond"/>
          <w:sz w:val="20"/>
          <w:szCs w:val="20"/>
        </w:rPr>
        <w:t xml:space="preserve">p. 271-283 </w:t>
      </w:r>
      <w:r w:rsidRPr="00021E7A">
        <w:rPr>
          <w:rFonts w:ascii="Garamond" w:hAnsi="Garamond"/>
          <w:i/>
          <w:iCs/>
          <w:sz w:val="20"/>
          <w:szCs w:val="20"/>
        </w:rPr>
        <w:t>in</w:t>
      </w:r>
      <w:r>
        <w:rPr>
          <w:rFonts w:ascii="Garamond" w:hAnsi="Garamond"/>
          <w:i/>
          <w:iCs/>
          <w:sz w:val="20"/>
          <w:szCs w:val="20"/>
        </w:rPr>
        <w:t xml:space="preserve"> </w:t>
      </w:r>
      <w:r>
        <w:rPr>
          <w:rFonts w:ascii="Garamond" w:hAnsi="Garamond"/>
          <w:sz w:val="20"/>
          <w:szCs w:val="20"/>
        </w:rPr>
        <w:t xml:space="preserve">A. Miron, D.-S. Robin et J.-P. </w:t>
      </w:r>
      <w:proofErr w:type="spellStart"/>
      <w:r>
        <w:rPr>
          <w:rFonts w:ascii="Garamond" w:hAnsi="Garamond"/>
          <w:sz w:val="20"/>
          <w:szCs w:val="20"/>
        </w:rPr>
        <w:t>Pirat</w:t>
      </w:r>
      <w:proofErr w:type="spellEnd"/>
      <w:r>
        <w:rPr>
          <w:rFonts w:ascii="Garamond" w:hAnsi="Garamond"/>
          <w:sz w:val="20"/>
          <w:szCs w:val="20"/>
        </w:rPr>
        <w:t xml:space="preserve"> (</w:t>
      </w:r>
      <w:proofErr w:type="spellStart"/>
      <w:r>
        <w:rPr>
          <w:rFonts w:ascii="Garamond" w:hAnsi="Garamond"/>
          <w:sz w:val="20"/>
          <w:szCs w:val="20"/>
        </w:rPr>
        <w:t>dir</w:t>
      </w:r>
      <w:proofErr w:type="spellEnd"/>
      <w:r>
        <w:rPr>
          <w:rFonts w:ascii="Garamond" w:hAnsi="Garamond"/>
          <w:sz w:val="20"/>
          <w:szCs w:val="20"/>
        </w:rPr>
        <w:t xml:space="preserve">.), </w:t>
      </w:r>
      <w:r w:rsidRPr="00021E7A">
        <w:rPr>
          <w:rFonts w:ascii="Garamond" w:hAnsi="Garamond"/>
          <w:i/>
          <w:iCs/>
          <w:sz w:val="20"/>
          <w:szCs w:val="20"/>
        </w:rPr>
        <w:t xml:space="preserve">Atlas des espaces maritimes </w:t>
      </w:r>
      <w:r>
        <w:rPr>
          <w:rFonts w:ascii="Garamond" w:hAnsi="Garamond"/>
          <w:i/>
          <w:iCs/>
          <w:sz w:val="20"/>
          <w:szCs w:val="20"/>
        </w:rPr>
        <w:t xml:space="preserve">de la France, </w:t>
      </w:r>
      <w:r>
        <w:rPr>
          <w:rFonts w:ascii="Garamond" w:hAnsi="Garamond"/>
          <w:sz w:val="20"/>
          <w:szCs w:val="20"/>
        </w:rPr>
        <w:t xml:space="preserve">Paris, </w:t>
      </w:r>
      <w:proofErr w:type="spellStart"/>
      <w:r>
        <w:rPr>
          <w:rFonts w:ascii="Garamond" w:hAnsi="Garamond"/>
          <w:sz w:val="20"/>
          <w:szCs w:val="20"/>
        </w:rPr>
        <w:t>Pedone</w:t>
      </w:r>
      <w:proofErr w:type="spellEnd"/>
      <w:r>
        <w:rPr>
          <w:rFonts w:ascii="Garamond" w:hAnsi="Garamond"/>
          <w:sz w:val="20"/>
          <w:szCs w:val="20"/>
        </w:rPr>
        <w:t>, 2022.</w:t>
      </w:r>
    </w:p>
    <w:p w14:paraId="2BA2DCBB" w14:textId="458F0D1C" w:rsidR="00B97336" w:rsidRDefault="002F3C95" w:rsidP="004E64DB">
      <w:pPr>
        <w:jc w:val="both"/>
        <w:rPr>
          <w:rFonts w:ascii="Garamond" w:hAnsi="Garamond"/>
          <w:color w:val="000000"/>
          <w:sz w:val="20"/>
          <w:szCs w:val="20"/>
          <w:shd w:val="clear" w:color="auto" w:fill="FFFFFF"/>
        </w:rPr>
      </w:pPr>
      <w:r>
        <w:rPr>
          <w:rFonts w:ascii="Garamond" w:hAnsi="Garamond"/>
          <w:color w:val="000000"/>
          <w:sz w:val="20"/>
          <w:szCs w:val="20"/>
          <w:shd w:val="clear" w:color="auto" w:fill="FFFFFF"/>
        </w:rPr>
        <w:t>6</w:t>
      </w:r>
      <w:r w:rsidR="005650BE">
        <w:rPr>
          <w:rFonts w:ascii="Garamond" w:hAnsi="Garamond"/>
          <w:color w:val="000000"/>
          <w:sz w:val="20"/>
          <w:szCs w:val="20"/>
          <w:shd w:val="clear" w:color="auto" w:fill="FFFFFF"/>
        </w:rPr>
        <w:t>5</w:t>
      </w:r>
      <w:r w:rsidR="00B97336" w:rsidRPr="004E64DB">
        <w:rPr>
          <w:rFonts w:ascii="Garamond" w:hAnsi="Garamond"/>
          <w:color w:val="000000"/>
          <w:sz w:val="20"/>
          <w:szCs w:val="20"/>
          <w:shd w:val="clear" w:color="auto" w:fill="FFFFFF"/>
        </w:rPr>
        <w:t xml:space="preserve">. Avec S. </w:t>
      </w:r>
      <w:r w:rsidR="006072BA">
        <w:rPr>
          <w:rFonts w:ascii="Garamond" w:hAnsi="Garamond"/>
          <w:color w:val="000000"/>
          <w:sz w:val="20"/>
          <w:szCs w:val="20"/>
          <w:shd w:val="clear" w:color="auto" w:fill="FFFFFF"/>
        </w:rPr>
        <w:t>Robert-</w:t>
      </w:r>
      <w:proofErr w:type="spellStart"/>
      <w:r w:rsidR="00B97336" w:rsidRPr="004E64DB">
        <w:rPr>
          <w:rFonts w:ascii="Garamond" w:hAnsi="Garamond"/>
          <w:color w:val="000000"/>
          <w:sz w:val="20"/>
          <w:szCs w:val="20"/>
          <w:shd w:val="clear" w:color="auto" w:fill="FFFFFF"/>
        </w:rPr>
        <w:t>Cuendet</w:t>
      </w:r>
      <w:proofErr w:type="spellEnd"/>
      <w:r w:rsidR="00B97336" w:rsidRPr="004E64DB">
        <w:rPr>
          <w:rFonts w:ascii="Garamond" w:hAnsi="Garamond"/>
          <w:color w:val="000000"/>
          <w:sz w:val="20"/>
          <w:szCs w:val="20"/>
          <w:shd w:val="clear" w:color="auto" w:fill="FFFFFF"/>
        </w:rPr>
        <w:t xml:space="preserve">, refonte de l’entrée « Zone économique exclusive », Dalloz, </w:t>
      </w:r>
      <w:r w:rsidR="00B97336" w:rsidRPr="004E64DB">
        <w:rPr>
          <w:rFonts w:ascii="Garamond" w:hAnsi="Garamond"/>
          <w:i/>
          <w:iCs/>
          <w:color w:val="000000"/>
          <w:sz w:val="20"/>
          <w:szCs w:val="20"/>
          <w:shd w:val="clear" w:color="auto" w:fill="FFFFFF"/>
        </w:rPr>
        <w:t>Répertoire de droit international</w:t>
      </w:r>
      <w:r w:rsidR="00B97336" w:rsidRPr="004E64DB">
        <w:rPr>
          <w:rFonts w:ascii="Garamond" w:hAnsi="Garamond"/>
          <w:color w:val="000000"/>
          <w:sz w:val="20"/>
          <w:szCs w:val="20"/>
          <w:shd w:val="clear" w:color="auto" w:fill="FFFFFF"/>
        </w:rPr>
        <w:t>, 2021-1, 21 p.</w:t>
      </w:r>
    </w:p>
    <w:p w14:paraId="2F0F04C2" w14:textId="6E36433E" w:rsidR="007D0088" w:rsidRDefault="007D0088" w:rsidP="004E64DB">
      <w:pPr>
        <w:jc w:val="both"/>
        <w:rPr>
          <w:rFonts w:ascii="Garamond" w:hAnsi="Garamond"/>
          <w:color w:val="000000"/>
          <w:sz w:val="20"/>
          <w:szCs w:val="20"/>
          <w:shd w:val="clear" w:color="auto" w:fill="FFFFFF"/>
        </w:rPr>
      </w:pPr>
    </w:p>
    <w:p w14:paraId="41BC86FE" w14:textId="0158EA1E" w:rsidR="007D0088" w:rsidRDefault="007D0088" w:rsidP="007D0088">
      <w:pPr>
        <w:jc w:val="both"/>
        <w:rPr>
          <w:rFonts w:ascii="Garamond" w:hAnsi="Garamond"/>
          <w:color w:val="000000"/>
          <w:sz w:val="20"/>
          <w:szCs w:val="20"/>
          <w:shd w:val="clear" w:color="auto" w:fill="FFFFFF"/>
        </w:rPr>
      </w:pPr>
      <w:r>
        <w:rPr>
          <w:rFonts w:ascii="Garamond" w:hAnsi="Garamond"/>
          <w:color w:val="000000"/>
          <w:sz w:val="20"/>
          <w:szCs w:val="20"/>
          <w:shd w:val="clear" w:color="auto" w:fill="FFFFFF"/>
        </w:rPr>
        <w:t>6</w:t>
      </w:r>
      <w:r w:rsidR="005650BE">
        <w:rPr>
          <w:rFonts w:ascii="Garamond" w:hAnsi="Garamond"/>
          <w:color w:val="000000"/>
          <w:sz w:val="20"/>
          <w:szCs w:val="20"/>
          <w:shd w:val="clear" w:color="auto" w:fill="FFFFFF"/>
        </w:rPr>
        <w:t>4</w:t>
      </w:r>
      <w:r>
        <w:rPr>
          <w:rFonts w:ascii="Garamond" w:hAnsi="Garamond"/>
          <w:color w:val="000000"/>
          <w:sz w:val="20"/>
          <w:szCs w:val="20"/>
          <w:shd w:val="clear" w:color="auto" w:fill="FFFFFF"/>
        </w:rPr>
        <w:t>. « Saint-Pierre-et-Miquelon »</w:t>
      </w:r>
      <w:r w:rsidR="00A01913">
        <w:rPr>
          <w:rFonts w:ascii="Garamond" w:hAnsi="Garamond"/>
          <w:color w:val="000000"/>
          <w:sz w:val="20"/>
          <w:szCs w:val="20"/>
          <w:shd w:val="clear" w:color="auto" w:fill="FFFFFF"/>
        </w:rPr>
        <w:t>, pp. 493-495,</w:t>
      </w:r>
      <w:r>
        <w:rPr>
          <w:rFonts w:ascii="Garamond" w:hAnsi="Garamond"/>
          <w:color w:val="000000"/>
          <w:sz w:val="20"/>
          <w:szCs w:val="20"/>
          <w:shd w:val="clear" w:color="auto" w:fill="FFFFFF"/>
        </w:rPr>
        <w:t xml:space="preserve"> </w:t>
      </w:r>
      <w:r w:rsidRPr="007D0088">
        <w:rPr>
          <w:rFonts w:ascii="Garamond" w:hAnsi="Garamond"/>
          <w:i/>
          <w:iCs/>
          <w:color w:val="000000"/>
          <w:sz w:val="20"/>
          <w:szCs w:val="20"/>
          <w:shd w:val="clear" w:color="auto" w:fill="FFFFFF"/>
        </w:rPr>
        <w:t>in</w:t>
      </w:r>
      <w:r>
        <w:rPr>
          <w:rFonts w:ascii="Garamond" w:hAnsi="Garamond"/>
          <w:i/>
          <w:iCs/>
          <w:color w:val="000000"/>
          <w:sz w:val="20"/>
          <w:szCs w:val="20"/>
          <w:shd w:val="clear" w:color="auto" w:fill="FFFFFF"/>
        </w:rPr>
        <w:t xml:space="preserve"> </w:t>
      </w:r>
      <w:r w:rsidRPr="004E64DB">
        <w:rPr>
          <w:rFonts w:ascii="Garamond" w:hAnsi="Garamond"/>
          <w:sz w:val="20"/>
          <w:szCs w:val="20"/>
        </w:rPr>
        <w:t>G. Giraudeau et M. Maisonneuve (</w:t>
      </w:r>
      <w:proofErr w:type="spellStart"/>
      <w:r w:rsidRPr="004E64DB">
        <w:rPr>
          <w:rFonts w:ascii="Garamond" w:hAnsi="Garamond"/>
          <w:sz w:val="20"/>
          <w:szCs w:val="20"/>
        </w:rPr>
        <w:t>dir</w:t>
      </w:r>
      <w:proofErr w:type="spellEnd"/>
      <w:r w:rsidRPr="004E64DB">
        <w:rPr>
          <w:rFonts w:ascii="Garamond" w:hAnsi="Garamond"/>
          <w:sz w:val="20"/>
          <w:szCs w:val="20"/>
        </w:rPr>
        <w:t xml:space="preserve">.), </w:t>
      </w:r>
      <w:r w:rsidRPr="004E64DB">
        <w:rPr>
          <w:rFonts w:ascii="Garamond" w:hAnsi="Garamond"/>
          <w:i/>
          <w:iCs/>
          <w:sz w:val="20"/>
          <w:szCs w:val="20"/>
        </w:rPr>
        <w:t>Dictionnaire juridique des Outre-mer</w:t>
      </w:r>
      <w:r w:rsidRPr="004E64DB">
        <w:rPr>
          <w:rFonts w:ascii="Garamond" w:hAnsi="Garamond"/>
          <w:sz w:val="20"/>
          <w:szCs w:val="20"/>
        </w:rPr>
        <w:t xml:space="preserve">, </w:t>
      </w:r>
      <w:proofErr w:type="spellStart"/>
      <w:r w:rsidRPr="004E64DB">
        <w:rPr>
          <w:rFonts w:ascii="Garamond" w:hAnsi="Garamond"/>
          <w:sz w:val="20"/>
          <w:szCs w:val="20"/>
        </w:rPr>
        <w:t>Lexisnexis</w:t>
      </w:r>
      <w:proofErr w:type="spellEnd"/>
      <w:r w:rsidRPr="004E64DB">
        <w:rPr>
          <w:rFonts w:ascii="Garamond" w:hAnsi="Garamond"/>
          <w:sz w:val="20"/>
          <w:szCs w:val="20"/>
        </w:rPr>
        <w:t>, 2021, 544 p.</w:t>
      </w:r>
    </w:p>
    <w:p w14:paraId="6BFC2928" w14:textId="43C3DAE4" w:rsidR="007D0088" w:rsidRDefault="007D0088" w:rsidP="004E64DB">
      <w:pPr>
        <w:jc w:val="both"/>
        <w:rPr>
          <w:rFonts w:ascii="Garamond" w:hAnsi="Garamond"/>
          <w:color w:val="000000"/>
          <w:sz w:val="20"/>
          <w:szCs w:val="20"/>
          <w:shd w:val="clear" w:color="auto" w:fill="FFFFFF"/>
        </w:rPr>
      </w:pPr>
    </w:p>
    <w:p w14:paraId="4BB1444E" w14:textId="75FE270C" w:rsidR="007D0088" w:rsidRDefault="007D0088" w:rsidP="004E64DB">
      <w:pPr>
        <w:jc w:val="both"/>
        <w:rPr>
          <w:rFonts w:ascii="Garamond" w:hAnsi="Garamond"/>
          <w:color w:val="000000"/>
          <w:sz w:val="20"/>
          <w:szCs w:val="20"/>
          <w:shd w:val="clear" w:color="auto" w:fill="FFFFFF"/>
        </w:rPr>
      </w:pPr>
      <w:r>
        <w:rPr>
          <w:rFonts w:ascii="Garamond" w:hAnsi="Garamond"/>
          <w:color w:val="000000"/>
          <w:sz w:val="20"/>
          <w:szCs w:val="20"/>
          <w:shd w:val="clear" w:color="auto" w:fill="FFFFFF"/>
        </w:rPr>
        <w:t>6</w:t>
      </w:r>
      <w:r w:rsidR="005650BE">
        <w:rPr>
          <w:rFonts w:ascii="Garamond" w:hAnsi="Garamond"/>
          <w:color w:val="000000"/>
          <w:sz w:val="20"/>
          <w:szCs w:val="20"/>
          <w:shd w:val="clear" w:color="auto" w:fill="FFFFFF"/>
        </w:rPr>
        <w:t>3</w:t>
      </w:r>
      <w:r>
        <w:rPr>
          <w:rFonts w:ascii="Garamond" w:hAnsi="Garamond"/>
          <w:color w:val="000000"/>
          <w:sz w:val="20"/>
          <w:szCs w:val="20"/>
          <w:shd w:val="clear" w:color="auto" w:fill="FFFFFF"/>
        </w:rPr>
        <w:t>. « Espaces maritimes »</w:t>
      </w:r>
      <w:r w:rsidR="00A01913">
        <w:rPr>
          <w:rFonts w:ascii="Garamond" w:hAnsi="Garamond"/>
          <w:color w:val="000000"/>
          <w:sz w:val="20"/>
          <w:szCs w:val="20"/>
          <w:shd w:val="clear" w:color="auto" w:fill="FFFFFF"/>
        </w:rPr>
        <w:t>, pp. 211-214,</w:t>
      </w:r>
      <w:r>
        <w:rPr>
          <w:rFonts w:ascii="Garamond" w:hAnsi="Garamond"/>
          <w:color w:val="000000"/>
          <w:sz w:val="20"/>
          <w:szCs w:val="20"/>
          <w:shd w:val="clear" w:color="auto" w:fill="FFFFFF"/>
        </w:rPr>
        <w:t xml:space="preserve"> </w:t>
      </w:r>
      <w:r w:rsidRPr="007D0088">
        <w:rPr>
          <w:rFonts w:ascii="Garamond" w:hAnsi="Garamond"/>
          <w:i/>
          <w:iCs/>
          <w:color w:val="000000"/>
          <w:sz w:val="20"/>
          <w:szCs w:val="20"/>
          <w:shd w:val="clear" w:color="auto" w:fill="FFFFFF"/>
        </w:rPr>
        <w:t>in</w:t>
      </w:r>
      <w:r>
        <w:rPr>
          <w:rFonts w:ascii="Garamond" w:hAnsi="Garamond"/>
          <w:i/>
          <w:iCs/>
          <w:color w:val="000000"/>
          <w:sz w:val="20"/>
          <w:szCs w:val="20"/>
          <w:shd w:val="clear" w:color="auto" w:fill="FFFFFF"/>
        </w:rPr>
        <w:t xml:space="preserve"> </w:t>
      </w:r>
      <w:r w:rsidRPr="004E64DB">
        <w:rPr>
          <w:rFonts w:ascii="Garamond" w:hAnsi="Garamond"/>
          <w:sz w:val="20"/>
          <w:szCs w:val="20"/>
        </w:rPr>
        <w:t>G. Giraudeau et M. Maisonneuve (</w:t>
      </w:r>
      <w:proofErr w:type="spellStart"/>
      <w:r w:rsidRPr="004E64DB">
        <w:rPr>
          <w:rFonts w:ascii="Garamond" w:hAnsi="Garamond"/>
          <w:sz w:val="20"/>
          <w:szCs w:val="20"/>
        </w:rPr>
        <w:t>dir</w:t>
      </w:r>
      <w:proofErr w:type="spellEnd"/>
      <w:r w:rsidRPr="004E64DB">
        <w:rPr>
          <w:rFonts w:ascii="Garamond" w:hAnsi="Garamond"/>
          <w:sz w:val="20"/>
          <w:szCs w:val="20"/>
        </w:rPr>
        <w:t xml:space="preserve">.), </w:t>
      </w:r>
      <w:r w:rsidRPr="004E64DB">
        <w:rPr>
          <w:rFonts w:ascii="Garamond" w:hAnsi="Garamond"/>
          <w:i/>
          <w:iCs/>
          <w:sz w:val="20"/>
          <w:szCs w:val="20"/>
        </w:rPr>
        <w:t>Dictionnaire juridique des Outre-mer</w:t>
      </w:r>
      <w:r w:rsidRPr="004E64DB">
        <w:rPr>
          <w:rFonts w:ascii="Garamond" w:hAnsi="Garamond"/>
          <w:sz w:val="20"/>
          <w:szCs w:val="20"/>
        </w:rPr>
        <w:t xml:space="preserve">, </w:t>
      </w:r>
      <w:proofErr w:type="spellStart"/>
      <w:r w:rsidRPr="004E64DB">
        <w:rPr>
          <w:rFonts w:ascii="Garamond" w:hAnsi="Garamond"/>
          <w:sz w:val="20"/>
          <w:szCs w:val="20"/>
        </w:rPr>
        <w:t>Lexisnexis</w:t>
      </w:r>
      <w:proofErr w:type="spellEnd"/>
      <w:r w:rsidRPr="004E64DB">
        <w:rPr>
          <w:rFonts w:ascii="Garamond" w:hAnsi="Garamond"/>
          <w:sz w:val="20"/>
          <w:szCs w:val="20"/>
        </w:rPr>
        <w:t>, 2021, 544 p.</w:t>
      </w:r>
    </w:p>
    <w:p w14:paraId="1E444A2E" w14:textId="3CDE8A56" w:rsidR="007D0088" w:rsidRDefault="007D0088" w:rsidP="004E64DB">
      <w:pPr>
        <w:jc w:val="both"/>
        <w:rPr>
          <w:rFonts w:ascii="Garamond" w:hAnsi="Garamond"/>
          <w:color w:val="000000"/>
          <w:sz w:val="20"/>
          <w:szCs w:val="20"/>
          <w:shd w:val="clear" w:color="auto" w:fill="FFFFFF"/>
        </w:rPr>
      </w:pPr>
    </w:p>
    <w:p w14:paraId="406DC93D" w14:textId="4A6B5387" w:rsidR="007D0088" w:rsidRPr="007D0088" w:rsidRDefault="007D0088" w:rsidP="004E64DB">
      <w:pPr>
        <w:jc w:val="both"/>
        <w:rPr>
          <w:rFonts w:ascii="Garamond" w:hAnsi="Garamond"/>
          <w:color w:val="000000"/>
          <w:sz w:val="20"/>
          <w:szCs w:val="20"/>
          <w:shd w:val="clear" w:color="auto" w:fill="FFFFFF"/>
        </w:rPr>
      </w:pPr>
      <w:r>
        <w:rPr>
          <w:rFonts w:ascii="Garamond" w:hAnsi="Garamond"/>
          <w:color w:val="000000"/>
          <w:sz w:val="20"/>
          <w:szCs w:val="20"/>
          <w:shd w:val="clear" w:color="auto" w:fill="FFFFFF"/>
        </w:rPr>
        <w:t>6</w:t>
      </w:r>
      <w:r w:rsidR="005650BE">
        <w:rPr>
          <w:rFonts w:ascii="Garamond" w:hAnsi="Garamond"/>
          <w:color w:val="000000"/>
          <w:sz w:val="20"/>
          <w:szCs w:val="20"/>
          <w:shd w:val="clear" w:color="auto" w:fill="FFFFFF"/>
        </w:rPr>
        <w:t>2</w:t>
      </w:r>
      <w:r>
        <w:rPr>
          <w:rFonts w:ascii="Garamond" w:hAnsi="Garamond"/>
          <w:color w:val="000000"/>
          <w:sz w:val="20"/>
          <w:szCs w:val="20"/>
          <w:shd w:val="clear" w:color="auto" w:fill="FFFFFF"/>
        </w:rPr>
        <w:t>. « Différends territoriaux »</w:t>
      </w:r>
      <w:r w:rsidR="00A01913">
        <w:rPr>
          <w:rFonts w:ascii="Garamond" w:hAnsi="Garamond"/>
          <w:color w:val="000000"/>
          <w:sz w:val="20"/>
          <w:szCs w:val="20"/>
          <w:shd w:val="clear" w:color="auto" w:fill="FFFFFF"/>
        </w:rPr>
        <w:t>, pp. 158-161,</w:t>
      </w:r>
      <w:r>
        <w:rPr>
          <w:rFonts w:ascii="Garamond" w:hAnsi="Garamond"/>
          <w:color w:val="000000"/>
          <w:sz w:val="20"/>
          <w:szCs w:val="20"/>
          <w:shd w:val="clear" w:color="auto" w:fill="FFFFFF"/>
        </w:rPr>
        <w:t xml:space="preserve"> </w:t>
      </w:r>
      <w:r w:rsidRPr="007D0088">
        <w:rPr>
          <w:rFonts w:ascii="Garamond" w:hAnsi="Garamond"/>
          <w:i/>
          <w:iCs/>
          <w:color w:val="000000"/>
          <w:sz w:val="20"/>
          <w:szCs w:val="20"/>
          <w:shd w:val="clear" w:color="auto" w:fill="FFFFFF"/>
        </w:rPr>
        <w:t>in</w:t>
      </w:r>
      <w:r>
        <w:rPr>
          <w:rFonts w:ascii="Garamond" w:hAnsi="Garamond"/>
          <w:i/>
          <w:iCs/>
          <w:color w:val="000000"/>
          <w:sz w:val="20"/>
          <w:szCs w:val="20"/>
          <w:shd w:val="clear" w:color="auto" w:fill="FFFFFF"/>
        </w:rPr>
        <w:t xml:space="preserve"> </w:t>
      </w:r>
      <w:r w:rsidRPr="004E64DB">
        <w:rPr>
          <w:rFonts w:ascii="Garamond" w:hAnsi="Garamond"/>
          <w:sz w:val="20"/>
          <w:szCs w:val="20"/>
        </w:rPr>
        <w:t>G. Giraudeau et M. Maisonneuve (</w:t>
      </w:r>
      <w:proofErr w:type="spellStart"/>
      <w:r w:rsidRPr="004E64DB">
        <w:rPr>
          <w:rFonts w:ascii="Garamond" w:hAnsi="Garamond"/>
          <w:sz w:val="20"/>
          <w:szCs w:val="20"/>
        </w:rPr>
        <w:t>dir</w:t>
      </w:r>
      <w:proofErr w:type="spellEnd"/>
      <w:r w:rsidRPr="004E64DB">
        <w:rPr>
          <w:rFonts w:ascii="Garamond" w:hAnsi="Garamond"/>
          <w:sz w:val="20"/>
          <w:szCs w:val="20"/>
        </w:rPr>
        <w:t xml:space="preserve">.), </w:t>
      </w:r>
      <w:r w:rsidRPr="004E64DB">
        <w:rPr>
          <w:rFonts w:ascii="Garamond" w:hAnsi="Garamond"/>
          <w:i/>
          <w:iCs/>
          <w:sz w:val="20"/>
          <w:szCs w:val="20"/>
        </w:rPr>
        <w:t>Dictionnaire juridique des Outre-mer</w:t>
      </w:r>
      <w:r w:rsidRPr="004E64DB">
        <w:rPr>
          <w:rFonts w:ascii="Garamond" w:hAnsi="Garamond"/>
          <w:sz w:val="20"/>
          <w:szCs w:val="20"/>
        </w:rPr>
        <w:t xml:space="preserve">, </w:t>
      </w:r>
      <w:proofErr w:type="spellStart"/>
      <w:r w:rsidRPr="004E64DB">
        <w:rPr>
          <w:rFonts w:ascii="Garamond" w:hAnsi="Garamond"/>
          <w:sz w:val="20"/>
          <w:szCs w:val="20"/>
        </w:rPr>
        <w:t>Lexisnexis</w:t>
      </w:r>
      <w:proofErr w:type="spellEnd"/>
      <w:r w:rsidRPr="004E64DB">
        <w:rPr>
          <w:rFonts w:ascii="Garamond" w:hAnsi="Garamond"/>
          <w:sz w:val="20"/>
          <w:szCs w:val="20"/>
        </w:rPr>
        <w:t>, 2021, 544 p.</w:t>
      </w:r>
    </w:p>
    <w:p w14:paraId="4870D4DC" w14:textId="77777777" w:rsidR="00B97336" w:rsidRPr="004E64DB" w:rsidRDefault="00B97336" w:rsidP="004E64DB">
      <w:pPr>
        <w:pStyle w:val="Default"/>
        <w:jc w:val="both"/>
        <w:rPr>
          <w:rFonts w:ascii="Garamond" w:eastAsia="Times New Roman" w:hAnsi="Garamond"/>
          <w:sz w:val="20"/>
          <w:szCs w:val="20"/>
          <w:lang w:eastAsia="fr-FR"/>
        </w:rPr>
      </w:pPr>
    </w:p>
    <w:p w14:paraId="23DF0B8D" w14:textId="2B5B9480" w:rsidR="000755DE" w:rsidRPr="004E64DB" w:rsidRDefault="005650BE" w:rsidP="004E64DB">
      <w:pPr>
        <w:pStyle w:val="Default"/>
        <w:jc w:val="both"/>
        <w:rPr>
          <w:rFonts w:ascii="Garamond" w:eastAsia="Times New Roman" w:hAnsi="Garamond"/>
          <w:sz w:val="20"/>
          <w:szCs w:val="20"/>
          <w:lang w:eastAsia="fr-FR"/>
        </w:rPr>
      </w:pPr>
      <w:r>
        <w:rPr>
          <w:rFonts w:ascii="Garamond" w:eastAsia="Times New Roman" w:hAnsi="Garamond"/>
          <w:sz w:val="20"/>
          <w:szCs w:val="20"/>
          <w:lang w:eastAsia="fr-FR"/>
        </w:rPr>
        <w:t>61</w:t>
      </w:r>
      <w:r w:rsidR="000755DE" w:rsidRPr="004E64DB">
        <w:rPr>
          <w:rFonts w:ascii="Garamond" w:eastAsia="Times New Roman" w:hAnsi="Garamond"/>
          <w:sz w:val="20"/>
          <w:szCs w:val="20"/>
          <w:lang w:eastAsia="fr-FR"/>
        </w:rPr>
        <w:t xml:space="preserve">. « Les spécificités du droit applicable en Nouvelle-Calédonie », </w:t>
      </w:r>
      <w:r w:rsidR="000755DE" w:rsidRPr="004E64DB">
        <w:rPr>
          <w:rFonts w:ascii="Garamond" w:eastAsia="Times New Roman" w:hAnsi="Garamond"/>
          <w:i/>
          <w:iCs/>
          <w:sz w:val="20"/>
          <w:szCs w:val="20"/>
          <w:lang w:eastAsia="fr-FR"/>
        </w:rPr>
        <w:t>Les Cahiers du CRINI</w:t>
      </w:r>
      <w:r w:rsidR="000755DE" w:rsidRPr="004E64DB">
        <w:rPr>
          <w:rFonts w:ascii="Garamond" w:eastAsia="Times New Roman" w:hAnsi="Garamond"/>
          <w:sz w:val="20"/>
          <w:szCs w:val="20"/>
          <w:lang w:eastAsia="fr-FR"/>
        </w:rPr>
        <w:t xml:space="preserve"> n°2, 2021, </w:t>
      </w:r>
      <w:r w:rsidR="00FC739C" w:rsidRPr="004E64DB">
        <w:rPr>
          <w:rFonts w:ascii="Garamond" w:hAnsi="Garamond"/>
          <w:i/>
          <w:iCs/>
          <w:sz w:val="20"/>
          <w:szCs w:val="20"/>
        </w:rPr>
        <w:t xml:space="preserve">Droit et </w:t>
      </w:r>
      <w:proofErr w:type="gramStart"/>
      <w:r w:rsidR="00FC739C" w:rsidRPr="004E64DB">
        <w:rPr>
          <w:rFonts w:ascii="Garamond" w:hAnsi="Garamond"/>
          <w:i/>
          <w:iCs/>
          <w:sz w:val="20"/>
          <w:szCs w:val="20"/>
        </w:rPr>
        <w:t>langue:</w:t>
      </w:r>
      <w:proofErr w:type="gramEnd"/>
      <w:r w:rsidR="00FC739C" w:rsidRPr="004E64DB">
        <w:rPr>
          <w:rFonts w:ascii="Garamond" w:hAnsi="Garamond"/>
          <w:i/>
          <w:iCs/>
          <w:sz w:val="20"/>
          <w:szCs w:val="20"/>
        </w:rPr>
        <w:t xml:space="preserve"> pourquoi et comment des exceptions juridiques et linguistiques territoriales ?</w:t>
      </w:r>
      <w:r w:rsidR="00FC739C" w:rsidRPr="004E64DB">
        <w:rPr>
          <w:rFonts w:ascii="Garamond" w:hAnsi="Garamond"/>
          <w:sz w:val="20"/>
          <w:szCs w:val="20"/>
        </w:rPr>
        <w:t xml:space="preserve"> </w:t>
      </w:r>
      <w:r w:rsidR="00FC739C" w:rsidRPr="004E64DB">
        <w:rPr>
          <w:rFonts w:ascii="Garamond" w:eastAsia="Times New Roman" w:hAnsi="Garamond"/>
          <w:sz w:val="20"/>
          <w:szCs w:val="20"/>
          <w:lang w:eastAsia="fr-FR"/>
        </w:rPr>
        <w:t>(</w:t>
      </w:r>
      <w:proofErr w:type="spellStart"/>
      <w:proofErr w:type="gramStart"/>
      <w:r w:rsidR="00FC739C" w:rsidRPr="004E64DB">
        <w:rPr>
          <w:rFonts w:ascii="Garamond" w:eastAsia="Times New Roman" w:hAnsi="Garamond"/>
          <w:sz w:val="20"/>
          <w:szCs w:val="20"/>
          <w:lang w:eastAsia="fr-FR"/>
        </w:rPr>
        <w:t>coord</w:t>
      </w:r>
      <w:proofErr w:type="spellEnd"/>
      <w:proofErr w:type="gramEnd"/>
      <w:r w:rsidR="00FC739C" w:rsidRPr="004E64DB">
        <w:rPr>
          <w:rFonts w:ascii="Garamond" w:eastAsia="Times New Roman" w:hAnsi="Garamond"/>
          <w:sz w:val="20"/>
          <w:szCs w:val="20"/>
          <w:lang w:eastAsia="fr-FR"/>
        </w:rPr>
        <w:t xml:space="preserve">. </w:t>
      </w:r>
      <w:r w:rsidR="000755DE" w:rsidRPr="004E64DB">
        <w:rPr>
          <w:rFonts w:ascii="Garamond" w:eastAsia="Times New Roman" w:hAnsi="Garamond"/>
          <w:sz w:val="20"/>
          <w:szCs w:val="20"/>
          <w:lang w:eastAsia="fr-FR"/>
        </w:rPr>
        <w:t xml:space="preserve">D. Garreau et E. </w:t>
      </w:r>
      <w:proofErr w:type="spellStart"/>
      <w:r w:rsidR="000755DE" w:rsidRPr="004E64DB">
        <w:rPr>
          <w:rFonts w:ascii="Garamond" w:eastAsia="Times New Roman" w:hAnsi="Garamond"/>
          <w:sz w:val="20"/>
          <w:szCs w:val="20"/>
          <w:lang w:eastAsia="fr-FR"/>
        </w:rPr>
        <w:t>Bracchi</w:t>
      </w:r>
      <w:proofErr w:type="spellEnd"/>
      <w:r w:rsidR="000755DE" w:rsidRPr="004E64DB">
        <w:rPr>
          <w:rFonts w:ascii="Garamond" w:eastAsia="Times New Roman" w:hAnsi="Garamond"/>
          <w:sz w:val="20"/>
          <w:szCs w:val="20"/>
          <w:lang w:eastAsia="fr-FR"/>
        </w:rPr>
        <w:t>)</w:t>
      </w:r>
      <w:r w:rsidR="00725452">
        <w:rPr>
          <w:rFonts w:ascii="Garamond" w:eastAsia="Times New Roman" w:hAnsi="Garamond"/>
          <w:sz w:val="20"/>
          <w:szCs w:val="20"/>
          <w:lang w:eastAsia="fr-FR"/>
        </w:rPr>
        <w:t>, 9 p.</w:t>
      </w:r>
    </w:p>
    <w:p w14:paraId="1AA6584D" w14:textId="7A964841" w:rsidR="00B97336" w:rsidRPr="004E64DB" w:rsidRDefault="00B97336" w:rsidP="004E64DB">
      <w:pPr>
        <w:pStyle w:val="Default"/>
        <w:jc w:val="both"/>
        <w:rPr>
          <w:rFonts w:ascii="Garamond" w:eastAsia="Times New Roman" w:hAnsi="Garamond"/>
          <w:sz w:val="20"/>
          <w:szCs w:val="20"/>
          <w:lang w:eastAsia="fr-FR"/>
        </w:rPr>
      </w:pPr>
    </w:p>
    <w:p w14:paraId="725ECDFC" w14:textId="74F9BA4E" w:rsidR="00B97336" w:rsidRPr="004E64DB" w:rsidRDefault="005650BE" w:rsidP="004E64DB">
      <w:pPr>
        <w:pStyle w:val="Default"/>
        <w:jc w:val="both"/>
        <w:rPr>
          <w:rFonts w:ascii="Garamond" w:hAnsi="Garamond"/>
          <w:sz w:val="20"/>
          <w:szCs w:val="20"/>
        </w:rPr>
      </w:pPr>
      <w:r>
        <w:rPr>
          <w:rFonts w:ascii="Garamond" w:eastAsia="Times New Roman" w:hAnsi="Garamond"/>
          <w:sz w:val="20"/>
          <w:szCs w:val="20"/>
          <w:lang w:eastAsia="fr-FR"/>
        </w:rPr>
        <w:t>60</w:t>
      </w:r>
      <w:r w:rsidR="00B97336" w:rsidRPr="004E64DB">
        <w:rPr>
          <w:rFonts w:ascii="Garamond" w:eastAsia="Times New Roman" w:hAnsi="Garamond"/>
          <w:sz w:val="20"/>
          <w:szCs w:val="20"/>
          <w:lang w:eastAsia="fr-FR"/>
        </w:rPr>
        <w:t xml:space="preserve">. « Les conventions fiscales dans le Pacifique », pp. 105- 113 </w:t>
      </w:r>
      <w:r w:rsidR="00B97336" w:rsidRPr="004E64DB">
        <w:rPr>
          <w:rFonts w:ascii="Garamond" w:eastAsia="Times New Roman" w:hAnsi="Garamond"/>
          <w:i/>
          <w:iCs/>
          <w:sz w:val="20"/>
          <w:szCs w:val="20"/>
          <w:lang w:eastAsia="fr-FR"/>
        </w:rPr>
        <w:t xml:space="preserve">in </w:t>
      </w:r>
      <w:r w:rsidR="00B97336" w:rsidRPr="004E64DB">
        <w:rPr>
          <w:rFonts w:ascii="Garamond" w:eastAsia="Times New Roman" w:hAnsi="Garamond"/>
          <w:sz w:val="20"/>
          <w:szCs w:val="20"/>
          <w:lang w:eastAsia="fr-FR"/>
        </w:rPr>
        <w:t xml:space="preserve">F. </w:t>
      </w:r>
      <w:proofErr w:type="spellStart"/>
      <w:r w:rsidR="00B97336" w:rsidRPr="004E64DB">
        <w:rPr>
          <w:rFonts w:ascii="Garamond" w:eastAsia="Times New Roman" w:hAnsi="Garamond"/>
          <w:sz w:val="20"/>
          <w:szCs w:val="20"/>
          <w:lang w:eastAsia="fr-FR"/>
        </w:rPr>
        <w:t>Querol</w:t>
      </w:r>
      <w:proofErr w:type="spellEnd"/>
      <w:r w:rsidR="00B97336" w:rsidRPr="004E64DB">
        <w:rPr>
          <w:rFonts w:ascii="Garamond" w:eastAsia="Times New Roman" w:hAnsi="Garamond"/>
          <w:sz w:val="20"/>
          <w:szCs w:val="20"/>
          <w:lang w:eastAsia="fr-FR"/>
        </w:rPr>
        <w:t xml:space="preserve"> (</w:t>
      </w:r>
      <w:proofErr w:type="spellStart"/>
      <w:r w:rsidR="00B97336" w:rsidRPr="004E64DB">
        <w:rPr>
          <w:rFonts w:ascii="Garamond" w:eastAsia="Times New Roman" w:hAnsi="Garamond"/>
          <w:sz w:val="20"/>
          <w:szCs w:val="20"/>
          <w:lang w:eastAsia="fr-FR"/>
        </w:rPr>
        <w:t>dir</w:t>
      </w:r>
      <w:proofErr w:type="spellEnd"/>
      <w:r w:rsidR="00B97336" w:rsidRPr="004E64DB">
        <w:rPr>
          <w:rFonts w:ascii="Garamond" w:eastAsia="Times New Roman" w:hAnsi="Garamond"/>
          <w:sz w:val="20"/>
          <w:szCs w:val="20"/>
          <w:lang w:eastAsia="fr-FR"/>
        </w:rPr>
        <w:t xml:space="preserve">.), Quel système fiscal pour le </w:t>
      </w:r>
      <w:proofErr w:type="gramStart"/>
      <w:r w:rsidR="00B97336" w:rsidRPr="004E64DB">
        <w:rPr>
          <w:rFonts w:ascii="Garamond" w:eastAsia="Times New Roman" w:hAnsi="Garamond"/>
          <w:sz w:val="20"/>
          <w:szCs w:val="20"/>
          <w:lang w:eastAsia="fr-FR"/>
        </w:rPr>
        <w:t>Vanuatu</w:t>
      </w:r>
      <w:r w:rsidR="00725452">
        <w:rPr>
          <w:rFonts w:ascii="Garamond" w:eastAsia="Times New Roman" w:hAnsi="Garamond"/>
          <w:sz w:val="20"/>
          <w:szCs w:val="20"/>
          <w:lang w:eastAsia="fr-FR"/>
        </w:rPr>
        <w:t> ?</w:t>
      </w:r>
      <w:r w:rsidR="00B97336" w:rsidRPr="004E64DB">
        <w:rPr>
          <w:rFonts w:ascii="Garamond" w:eastAsia="Times New Roman" w:hAnsi="Garamond"/>
          <w:sz w:val="20"/>
          <w:szCs w:val="20"/>
          <w:lang w:eastAsia="fr-FR"/>
        </w:rPr>
        <w:t>,</w:t>
      </w:r>
      <w:proofErr w:type="gramEnd"/>
      <w:r w:rsidR="00B97336" w:rsidRPr="004E64DB">
        <w:rPr>
          <w:rFonts w:ascii="Garamond" w:eastAsia="Times New Roman" w:hAnsi="Garamond"/>
          <w:sz w:val="20"/>
          <w:szCs w:val="20"/>
          <w:lang w:eastAsia="fr-FR"/>
        </w:rPr>
        <w:t xml:space="preserve"> Actes du colloque de Port-Vila des 2 et 3 mai 2019, AUF, 2021.</w:t>
      </w:r>
    </w:p>
    <w:p w14:paraId="7A4D110F" w14:textId="3534DE38" w:rsidR="00C52B02" w:rsidRPr="004E64DB" w:rsidRDefault="002F3C95" w:rsidP="004E64DB">
      <w:pPr>
        <w:spacing w:before="100" w:beforeAutospacing="1" w:after="100" w:afterAutospacing="1"/>
        <w:jc w:val="both"/>
        <w:rPr>
          <w:rFonts w:ascii="Garamond" w:hAnsi="Garamond"/>
          <w:sz w:val="20"/>
          <w:szCs w:val="20"/>
        </w:rPr>
      </w:pPr>
      <w:r>
        <w:rPr>
          <w:rFonts w:ascii="Garamond" w:hAnsi="Garamond"/>
          <w:color w:val="000000"/>
          <w:sz w:val="20"/>
          <w:szCs w:val="20"/>
          <w:shd w:val="clear" w:color="auto" w:fill="FFFFFF"/>
        </w:rPr>
        <w:t>5</w:t>
      </w:r>
      <w:r w:rsidR="005650BE">
        <w:rPr>
          <w:rFonts w:ascii="Garamond" w:hAnsi="Garamond"/>
          <w:color w:val="000000"/>
          <w:sz w:val="20"/>
          <w:szCs w:val="20"/>
          <w:shd w:val="clear" w:color="auto" w:fill="FFFFFF"/>
        </w:rPr>
        <w:t>9</w:t>
      </w:r>
      <w:r w:rsidR="00746239" w:rsidRPr="004E64DB">
        <w:rPr>
          <w:rFonts w:ascii="Garamond" w:hAnsi="Garamond"/>
          <w:color w:val="000000"/>
          <w:sz w:val="20"/>
          <w:szCs w:val="20"/>
          <w:shd w:val="clear" w:color="auto" w:fill="FFFFFF"/>
        </w:rPr>
        <w:t xml:space="preserve">. </w:t>
      </w:r>
      <w:r w:rsidR="00746239" w:rsidRPr="004E64DB">
        <w:rPr>
          <w:rFonts w:ascii="Garamond" w:hAnsi="Garamond"/>
          <w:sz w:val="20"/>
          <w:szCs w:val="20"/>
        </w:rPr>
        <w:t xml:space="preserve">« Les mutations de la territorialité dans le Pacifique », pp. 41-54 </w:t>
      </w:r>
      <w:r w:rsidR="00746239" w:rsidRPr="004E64DB">
        <w:rPr>
          <w:rFonts w:ascii="Garamond" w:hAnsi="Garamond"/>
          <w:i/>
          <w:iCs/>
          <w:sz w:val="20"/>
          <w:szCs w:val="20"/>
        </w:rPr>
        <w:t xml:space="preserve">in </w:t>
      </w:r>
      <w:r w:rsidR="00746239" w:rsidRPr="004E64DB">
        <w:rPr>
          <w:rFonts w:ascii="Garamond" w:hAnsi="Garamond"/>
          <w:sz w:val="20"/>
          <w:szCs w:val="20"/>
        </w:rPr>
        <w:t xml:space="preserve">G. Giraudeau, </w:t>
      </w:r>
      <w:r w:rsidR="00746239" w:rsidRPr="004E64DB">
        <w:rPr>
          <w:rFonts w:ascii="Garamond" w:hAnsi="Garamond"/>
          <w:i/>
          <w:iCs/>
          <w:sz w:val="20"/>
          <w:szCs w:val="20"/>
        </w:rPr>
        <w:t>Les enjeux territoriaux du Pacifique</w:t>
      </w:r>
      <w:r w:rsidR="00746239" w:rsidRPr="004E64DB">
        <w:rPr>
          <w:rFonts w:ascii="Garamond" w:hAnsi="Garamond"/>
          <w:sz w:val="20"/>
          <w:szCs w:val="20"/>
        </w:rPr>
        <w:t>, PUNC, 2021.</w:t>
      </w:r>
    </w:p>
    <w:p w14:paraId="00B0471B" w14:textId="799EF26D" w:rsidR="00383401" w:rsidRPr="004E64DB" w:rsidRDefault="002F3C95" w:rsidP="004E64DB">
      <w:pPr>
        <w:spacing w:before="100" w:beforeAutospacing="1" w:after="100" w:afterAutospacing="1"/>
        <w:jc w:val="both"/>
        <w:rPr>
          <w:rFonts w:ascii="Garamond" w:hAnsi="Garamond"/>
          <w:sz w:val="20"/>
          <w:szCs w:val="20"/>
        </w:rPr>
      </w:pPr>
      <w:r>
        <w:rPr>
          <w:rFonts w:ascii="Garamond" w:hAnsi="Garamond"/>
          <w:color w:val="000000"/>
          <w:sz w:val="20"/>
          <w:szCs w:val="20"/>
          <w:shd w:val="clear" w:color="auto" w:fill="FFFFFF"/>
        </w:rPr>
        <w:t>5</w:t>
      </w:r>
      <w:r w:rsidR="005650BE">
        <w:rPr>
          <w:rFonts w:ascii="Garamond" w:hAnsi="Garamond"/>
          <w:color w:val="000000"/>
          <w:sz w:val="20"/>
          <w:szCs w:val="20"/>
          <w:shd w:val="clear" w:color="auto" w:fill="FFFFFF"/>
        </w:rPr>
        <w:t>8</w:t>
      </w:r>
      <w:r w:rsidR="00C52B02" w:rsidRPr="004E64DB">
        <w:rPr>
          <w:rFonts w:ascii="Garamond" w:hAnsi="Garamond"/>
          <w:color w:val="000000"/>
          <w:sz w:val="20"/>
          <w:szCs w:val="20"/>
          <w:shd w:val="clear" w:color="auto" w:fill="FFFFFF"/>
        </w:rPr>
        <w:t xml:space="preserve">. </w:t>
      </w:r>
      <w:r w:rsidR="00C52B02" w:rsidRPr="004E64DB">
        <w:rPr>
          <w:rFonts w:ascii="Garamond" w:hAnsi="Garamond"/>
          <w:sz w:val="20"/>
          <w:szCs w:val="20"/>
        </w:rPr>
        <w:t>« Espace (extra-atmosphérique) »</w:t>
      </w:r>
      <w:r w:rsidR="00644D2A" w:rsidRPr="004E64DB">
        <w:rPr>
          <w:rFonts w:ascii="Garamond" w:hAnsi="Garamond"/>
          <w:sz w:val="20"/>
          <w:szCs w:val="20"/>
        </w:rPr>
        <w:t xml:space="preserve">, </w:t>
      </w:r>
      <w:r w:rsidR="00C52B02" w:rsidRPr="004E64DB">
        <w:rPr>
          <w:rFonts w:ascii="Garamond" w:hAnsi="Garamond"/>
          <w:sz w:val="20"/>
          <w:szCs w:val="20"/>
        </w:rPr>
        <w:t xml:space="preserve">p. 228 </w:t>
      </w:r>
      <w:r w:rsidR="00C52B02" w:rsidRPr="004E64DB">
        <w:rPr>
          <w:rFonts w:ascii="Garamond" w:hAnsi="Garamond"/>
          <w:i/>
          <w:iCs/>
          <w:sz w:val="20"/>
          <w:szCs w:val="20"/>
        </w:rPr>
        <w:t xml:space="preserve">in </w:t>
      </w:r>
      <w:r w:rsidR="00C52B02" w:rsidRPr="004E64DB">
        <w:rPr>
          <w:rFonts w:ascii="Garamond" w:hAnsi="Garamond"/>
          <w:sz w:val="20"/>
          <w:szCs w:val="20"/>
        </w:rPr>
        <w:t xml:space="preserve">V. </w:t>
      </w:r>
      <w:proofErr w:type="spellStart"/>
      <w:r w:rsidR="00C52B02" w:rsidRPr="004E64DB">
        <w:rPr>
          <w:rFonts w:ascii="Garamond" w:hAnsi="Garamond"/>
          <w:sz w:val="20"/>
          <w:szCs w:val="20"/>
        </w:rPr>
        <w:t>Ndior</w:t>
      </w:r>
      <w:proofErr w:type="spellEnd"/>
      <w:r w:rsidR="00C52B02" w:rsidRPr="004E64DB">
        <w:rPr>
          <w:rFonts w:ascii="Garamond" w:hAnsi="Garamond"/>
          <w:sz w:val="20"/>
          <w:szCs w:val="20"/>
        </w:rPr>
        <w:t xml:space="preserve"> (</w:t>
      </w:r>
      <w:proofErr w:type="spellStart"/>
      <w:r w:rsidR="00C52B02" w:rsidRPr="004E64DB">
        <w:rPr>
          <w:rFonts w:ascii="Garamond" w:hAnsi="Garamond"/>
          <w:sz w:val="20"/>
          <w:szCs w:val="20"/>
        </w:rPr>
        <w:t>dir</w:t>
      </w:r>
      <w:proofErr w:type="spellEnd"/>
      <w:r w:rsidR="00C52B02" w:rsidRPr="004E64DB">
        <w:rPr>
          <w:rFonts w:ascii="Garamond" w:hAnsi="Garamond"/>
          <w:sz w:val="20"/>
          <w:szCs w:val="20"/>
        </w:rPr>
        <w:t xml:space="preserve">.), </w:t>
      </w:r>
      <w:r w:rsidR="00C52B02" w:rsidRPr="004E64DB">
        <w:rPr>
          <w:rFonts w:ascii="Garamond" w:hAnsi="Garamond"/>
          <w:i/>
          <w:iCs/>
          <w:sz w:val="20"/>
          <w:szCs w:val="20"/>
        </w:rPr>
        <w:t>Dictionnaire de l’actualité internationale</w:t>
      </w:r>
      <w:r w:rsidR="00C52B02" w:rsidRPr="004E64DB">
        <w:rPr>
          <w:rFonts w:ascii="Garamond" w:hAnsi="Garamond"/>
          <w:sz w:val="20"/>
          <w:szCs w:val="20"/>
        </w:rPr>
        <w:t xml:space="preserve">, Paris, </w:t>
      </w:r>
      <w:proofErr w:type="spellStart"/>
      <w:r w:rsidR="00C52B02" w:rsidRPr="004E64DB">
        <w:rPr>
          <w:rFonts w:ascii="Garamond" w:hAnsi="Garamond"/>
          <w:sz w:val="20"/>
          <w:szCs w:val="20"/>
        </w:rPr>
        <w:t>Pedone</w:t>
      </w:r>
      <w:proofErr w:type="spellEnd"/>
      <w:r w:rsidR="00C52B02" w:rsidRPr="004E64DB">
        <w:rPr>
          <w:rFonts w:ascii="Garamond" w:hAnsi="Garamond"/>
          <w:sz w:val="20"/>
          <w:szCs w:val="20"/>
        </w:rPr>
        <w:t>, 2021.</w:t>
      </w:r>
    </w:p>
    <w:p w14:paraId="08D1EB69" w14:textId="0417A849" w:rsidR="00644D2A" w:rsidRPr="004E64DB" w:rsidRDefault="002F3C95" w:rsidP="004E64DB">
      <w:pPr>
        <w:spacing w:before="100" w:beforeAutospacing="1" w:after="100" w:afterAutospacing="1"/>
        <w:jc w:val="both"/>
        <w:rPr>
          <w:rFonts w:ascii="Garamond" w:hAnsi="Garamond"/>
          <w:sz w:val="20"/>
          <w:szCs w:val="20"/>
        </w:rPr>
      </w:pPr>
      <w:r>
        <w:rPr>
          <w:rFonts w:ascii="Garamond" w:hAnsi="Garamond"/>
          <w:sz w:val="20"/>
          <w:szCs w:val="20"/>
        </w:rPr>
        <w:t>5</w:t>
      </w:r>
      <w:r w:rsidR="005650BE">
        <w:rPr>
          <w:rFonts w:ascii="Garamond" w:hAnsi="Garamond"/>
          <w:sz w:val="20"/>
          <w:szCs w:val="20"/>
        </w:rPr>
        <w:t>7</w:t>
      </w:r>
      <w:r w:rsidR="00644D2A" w:rsidRPr="004E64DB">
        <w:rPr>
          <w:rFonts w:ascii="Garamond" w:hAnsi="Garamond"/>
          <w:sz w:val="20"/>
          <w:szCs w:val="20"/>
        </w:rPr>
        <w:t>. « Internet », p. 323)</w:t>
      </w:r>
      <w:r w:rsidR="00644D2A" w:rsidRPr="004E64DB">
        <w:rPr>
          <w:rFonts w:ascii="Garamond" w:hAnsi="Garamond"/>
          <w:i/>
          <w:iCs/>
          <w:sz w:val="20"/>
          <w:szCs w:val="20"/>
        </w:rPr>
        <w:t xml:space="preserve"> in </w:t>
      </w:r>
      <w:r w:rsidR="00644D2A" w:rsidRPr="004E64DB">
        <w:rPr>
          <w:rFonts w:ascii="Garamond" w:hAnsi="Garamond"/>
          <w:sz w:val="20"/>
          <w:szCs w:val="20"/>
        </w:rPr>
        <w:t xml:space="preserve">V. </w:t>
      </w:r>
      <w:proofErr w:type="spellStart"/>
      <w:r w:rsidR="00644D2A" w:rsidRPr="004E64DB">
        <w:rPr>
          <w:rFonts w:ascii="Garamond" w:hAnsi="Garamond"/>
          <w:sz w:val="20"/>
          <w:szCs w:val="20"/>
        </w:rPr>
        <w:t>Ndior</w:t>
      </w:r>
      <w:proofErr w:type="spellEnd"/>
      <w:r w:rsidR="00644D2A" w:rsidRPr="004E64DB">
        <w:rPr>
          <w:rFonts w:ascii="Garamond" w:hAnsi="Garamond"/>
          <w:sz w:val="20"/>
          <w:szCs w:val="20"/>
        </w:rPr>
        <w:t xml:space="preserve"> (</w:t>
      </w:r>
      <w:proofErr w:type="spellStart"/>
      <w:r w:rsidR="00644D2A" w:rsidRPr="004E64DB">
        <w:rPr>
          <w:rFonts w:ascii="Garamond" w:hAnsi="Garamond"/>
          <w:sz w:val="20"/>
          <w:szCs w:val="20"/>
        </w:rPr>
        <w:t>dir</w:t>
      </w:r>
      <w:proofErr w:type="spellEnd"/>
      <w:r w:rsidR="00644D2A" w:rsidRPr="004E64DB">
        <w:rPr>
          <w:rFonts w:ascii="Garamond" w:hAnsi="Garamond"/>
          <w:sz w:val="20"/>
          <w:szCs w:val="20"/>
        </w:rPr>
        <w:t xml:space="preserve">.), </w:t>
      </w:r>
      <w:r w:rsidR="00644D2A" w:rsidRPr="004E64DB">
        <w:rPr>
          <w:rFonts w:ascii="Garamond" w:hAnsi="Garamond"/>
          <w:i/>
          <w:iCs/>
          <w:sz w:val="20"/>
          <w:szCs w:val="20"/>
        </w:rPr>
        <w:t>Dictionnaire de l’actualité internationale</w:t>
      </w:r>
      <w:r w:rsidR="00644D2A" w:rsidRPr="004E64DB">
        <w:rPr>
          <w:rFonts w:ascii="Garamond" w:hAnsi="Garamond"/>
          <w:sz w:val="20"/>
          <w:szCs w:val="20"/>
        </w:rPr>
        <w:t xml:space="preserve">, Paris, </w:t>
      </w:r>
      <w:proofErr w:type="spellStart"/>
      <w:r w:rsidR="00644D2A" w:rsidRPr="004E64DB">
        <w:rPr>
          <w:rFonts w:ascii="Garamond" w:hAnsi="Garamond"/>
          <w:sz w:val="20"/>
          <w:szCs w:val="20"/>
        </w:rPr>
        <w:t>Pedone</w:t>
      </w:r>
      <w:proofErr w:type="spellEnd"/>
      <w:r w:rsidR="00644D2A" w:rsidRPr="004E64DB">
        <w:rPr>
          <w:rFonts w:ascii="Garamond" w:hAnsi="Garamond"/>
          <w:sz w:val="20"/>
          <w:szCs w:val="20"/>
        </w:rPr>
        <w:t>, 2021.</w:t>
      </w:r>
    </w:p>
    <w:p w14:paraId="15B2D4AD" w14:textId="55FD6790" w:rsidR="00383401" w:rsidRPr="004E64DB" w:rsidRDefault="002F3C95" w:rsidP="004E64DB">
      <w:pPr>
        <w:jc w:val="both"/>
        <w:rPr>
          <w:rFonts w:ascii="Garamond" w:hAnsi="Garamond"/>
          <w:color w:val="000000"/>
          <w:sz w:val="20"/>
          <w:szCs w:val="20"/>
          <w:shd w:val="clear" w:color="auto" w:fill="FFFFFF"/>
        </w:rPr>
      </w:pPr>
      <w:r>
        <w:rPr>
          <w:rFonts w:ascii="Garamond" w:hAnsi="Garamond"/>
          <w:color w:val="000000"/>
          <w:sz w:val="20"/>
          <w:szCs w:val="20"/>
          <w:shd w:val="clear" w:color="auto" w:fill="FFFFFF"/>
        </w:rPr>
        <w:lastRenderedPageBreak/>
        <w:t>5</w:t>
      </w:r>
      <w:r w:rsidR="005650BE">
        <w:rPr>
          <w:rFonts w:ascii="Garamond" w:hAnsi="Garamond"/>
          <w:color w:val="000000"/>
          <w:sz w:val="20"/>
          <w:szCs w:val="20"/>
          <w:shd w:val="clear" w:color="auto" w:fill="FFFFFF"/>
        </w:rPr>
        <w:t>6</w:t>
      </w:r>
      <w:r w:rsidR="00383401" w:rsidRPr="004E64DB">
        <w:rPr>
          <w:rFonts w:ascii="Garamond" w:hAnsi="Garamond"/>
          <w:color w:val="000000"/>
          <w:sz w:val="20"/>
          <w:szCs w:val="20"/>
          <w:shd w:val="clear" w:color="auto" w:fill="FFFFFF"/>
        </w:rPr>
        <w:t>. «</w:t>
      </w:r>
      <w:r w:rsidR="00383401" w:rsidRPr="004E64DB">
        <w:rPr>
          <w:rFonts w:ascii="Garamond" w:hAnsi="Garamond"/>
          <w:sz w:val="20"/>
          <w:szCs w:val="20"/>
        </w:rPr>
        <w:t xml:space="preserve"> La consultation du 4 octobre 2020 sur l’accession à la pleine souveraineté de la Nouvelle-Calédonie, deuxième acte d’un processus clivant », Actes du colloque Droit électoral et droit des collectivités locales, </w:t>
      </w:r>
      <w:r w:rsidR="00383401" w:rsidRPr="004E64DB">
        <w:rPr>
          <w:rFonts w:ascii="Garamond" w:hAnsi="Garamond"/>
          <w:i/>
          <w:iCs/>
          <w:sz w:val="20"/>
          <w:szCs w:val="20"/>
        </w:rPr>
        <w:t>Bulletin juridique des collectivités locales</w:t>
      </w:r>
      <w:r w:rsidR="00383401" w:rsidRPr="004E64DB">
        <w:rPr>
          <w:rFonts w:ascii="Garamond" w:hAnsi="Garamond"/>
          <w:sz w:val="20"/>
          <w:szCs w:val="20"/>
        </w:rPr>
        <w:t>, n°12/2020, pp. 836-840.</w:t>
      </w:r>
    </w:p>
    <w:p w14:paraId="70DCAC64" w14:textId="77777777" w:rsidR="00174677" w:rsidRPr="004E64DB" w:rsidRDefault="00174677" w:rsidP="004E64DB">
      <w:pPr>
        <w:jc w:val="both"/>
        <w:rPr>
          <w:rFonts w:ascii="Garamond" w:hAnsi="Garamond"/>
          <w:color w:val="000000"/>
          <w:sz w:val="20"/>
          <w:szCs w:val="20"/>
          <w:shd w:val="clear" w:color="auto" w:fill="FFFFFF"/>
        </w:rPr>
      </w:pPr>
    </w:p>
    <w:p w14:paraId="5CCE6B57" w14:textId="12ACED10" w:rsidR="00174677" w:rsidRPr="004E64DB" w:rsidRDefault="002F3C95" w:rsidP="004E64DB">
      <w:pPr>
        <w:jc w:val="both"/>
        <w:rPr>
          <w:rFonts w:ascii="Garamond" w:hAnsi="Garamond"/>
          <w:color w:val="000000"/>
          <w:sz w:val="20"/>
          <w:szCs w:val="20"/>
          <w:shd w:val="clear" w:color="auto" w:fill="FFFFFF"/>
        </w:rPr>
      </w:pPr>
      <w:r>
        <w:rPr>
          <w:rFonts w:ascii="Garamond" w:hAnsi="Garamond"/>
          <w:color w:val="000000"/>
          <w:sz w:val="20"/>
          <w:szCs w:val="20"/>
          <w:shd w:val="clear" w:color="auto" w:fill="FFFFFF"/>
        </w:rPr>
        <w:t>5</w:t>
      </w:r>
      <w:r w:rsidR="005650BE">
        <w:rPr>
          <w:rFonts w:ascii="Garamond" w:hAnsi="Garamond"/>
          <w:color w:val="000000"/>
          <w:sz w:val="20"/>
          <w:szCs w:val="20"/>
          <w:shd w:val="clear" w:color="auto" w:fill="FFFFFF"/>
        </w:rPr>
        <w:t>5</w:t>
      </w:r>
      <w:r w:rsidR="00174677" w:rsidRPr="004E64DB">
        <w:rPr>
          <w:rFonts w:ascii="Garamond" w:hAnsi="Garamond"/>
          <w:color w:val="000000"/>
          <w:sz w:val="20"/>
          <w:szCs w:val="20"/>
          <w:shd w:val="clear" w:color="auto" w:fill="FFFFFF"/>
        </w:rPr>
        <w:t xml:space="preserve">. « Le statut </w:t>
      </w:r>
      <w:r w:rsidR="00174677" w:rsidRPr="004E64DB">
        <w:rPr>
          <w:rFonts w:ascii="Garamond" w:hAnsi="Garamond"/>
          <w:i/>
          <w:iCs/>
          <w:color w:val="000000"/>
          <w:sz w:val="20"/>
          <w:szCs w:val="20"/>
          <w:shd w:val="clear" w:color="auto" w:fill="FFFFFF"/>
        </w:rPr>
        <w:t>sui generis</w:t>
      </w:r>
      <w:r w:rsidR="00174677" w:rsidRPr="004E64DB">
        <w:rPr>
          <w:rFonts w:ascii="Garamond" w:hAnsi="Garamond"/>
          <w:color w:val="000000"/>
          <w:sz w:val="20"/>
          <w:szCs w:val="20"/>
          <w:shd w:val="clear" w:color="auto" w:fill="FFFFFF"/>
        </w:rPr>
        <w:t xml:space="preserve"> de la Nouvelle-Calédonie au sein de la République française, ultime manifestation de la souplesse du cadre unitaire », pp. 121-33 </w:t>
      </w:r>
      <w:r w:rsidR="00174677" w:rsidRPr="004E64DB">
        <w:rPr>
          <w:rFonts w:ascii="Garamond" w:hAnsi="Garamond"/>
          <w:i/>
          <w:iCs/>
          <w:color w:val="000000"/>
          <w:sz w:val="20"/>
          <w:szCs w:val="20"/>
          <w:shd w:val="clear" w:color="auto" w:fill="FFFFFF"/>
        </w:rPr>
        <w:t xml:space="preserve">in </w:t>
      </w:r>
      <w:r w:rsidR="00174677" w:rsidRPr="004E64DB">
        <w:rPr>
          <w:rFonts w:ascii="Garamond" w:hAnsi="Garamond"/>
          <w:color w:val="000000"/>
          <w:sz w:val="20"/>
          <w:szCs w:val="20"/>
          <w:shd w:val="clear" w:color="auto" w:fill="FFFFFF"/>
        </w:rPr>
        <w:t xml:space="preserve">M. </w:t>
      </w:r>
      <w:proofErr w:type="spellStart"/>
      <w:r w:rsidR="00174677" w:rsidRPr="004E64DB">
        <w:rPr>
          <w:rFonts w:ascii="Garamond" w:hAnsi="Garamond"/>
          <w:color w:val="000000"/>
          <w:sz w:val="20"/>
          <w:szCs w:val="20"/>
          <w:shd w:val="clear" w:color="auto" w:fill="FFFFFF"/>
        </w:rPr>
        <w:t>Doat</w:t>
      </w:r>
      <w:proofErr w:type="spellEnd"/>
      <w:r w:rsidR="00174677" w:rsidRPr="004E64DB">
        <w:rPr>
          <w:rFonts w:ascii="Garamond" w:hAnsi="Garamond"/>
          <w:color w:val="000000"/>
          <w:sz w:val="20"/>
          <w:szCs w:val="20"/>
          <w:shd w:val="clear" w:color="auto" w:fill="FFFFFF"/>
        </w:rPr>
        <w:t xml:space="preserve"> et J. Rios (</w:t>
      </w:r>
      <w:proofErr w:type="spellStart"/>
      <w:r w:rsidR="00174677" w:rsidRPr="004E64DB">
        <w:rPr>
          <w:rFonts w:ascii="Garamond" w:hAnsi="Garamond"/>
          <w:color w:val="000000"/>
          <w:sz w:val="20"/>
          <w:szCs w:val="20"/>
          <w:shd w:val="clear" w:color="auto" w:fill="FFFFFF"/>
        </w:rPr>
        <w:t>dir</w:t>
      </w:r>
      <w:proofErr w:type="spellEnd"/>
      <w:r w:rsidR="00174677" w:rsidRPr="004E64DB">
        <w:rPr>
          <w:rFonts w:ascii="Garamond" w:hAnsi="Garamond"/>
          <w:color w:val="000000"/>
          <w:sz w:val="20"/>
          <w:szCs w:val="20"/>
          <w:shd w:val="clear" w:color="auto" w:fill="FFFFFF"/>
        </w:rPr>
        <w:t xml:space="preserve">.), </w:t>
      </w:r>
      <w:r w:rsidR="00174677" w:rsidRPr="004E64DB">
        <w:rPr>
          <w:rFonts w:ascii="Garamond" w:hAnsi="Garamond"/>
          <w:i/>
          <w:iCs/>
          <w:color w:val="000000"/>
          <w:sz w:val="20"/>
          <w:szCs w:val="20"/>
          <w:shd w:val="clear" w:color="auto" w:fill="FFFFFF"/>
        </w:rPr>
        <w:t>L’unité de l’</w:t>
      </w:r>
      <w:proofErr w:type="spellStart"/>
      <w:r w:rsidR="00174677" w:rsidRPr="004E64DB">
        <w:rPr>
          <w:rFonts w:ascii="Garamond" w:hAnsi="Garamond"/>
          <w:i/>
          <w:iCs/>
          <w:color w:val="000000"/>
          <w:sz w:val="20"/>
          <w:szCs w:val="20"/>
          <w:shd w:val="clear" w:color="auto" w:fill="FFFFFF"/>
        </w:rPr>
        <w:t>Etat</w:t>
      </w:r>
      <w:proofErr w:type="spellEnd"/>
      <w:r w:rsidR="00174677" w:rsidRPr="004E64DB">
        <w:rPr>
          <w:rFonts w:ascii="Garamond" w:hAnsi="Garamond"/>
          <w:color w:val="000000"/>
          <w:sz w:val="20"/>
          <w:szCs w:val="20"/>
          <w:shd w:val="clear" w:color="auto" w:fill="FFFFFF"/>
        </w:rPr>
        <w:t>, Mare et Martin, 202</w:t>
      </w:r>
      <w:r w:rsidR="005D07B5" w:rsidRPr="004E64DB">
        <w:rPr>
          <w:rFonts w:ascii="Garamond" w:hAnsi="Garamond"/>
          <w:color w:val="000000"/>
          <w:sz w:val="20"/>
          <w:szCs w:val="20"/>
          <w:shd w:val="clear" w:color="auto" w:fill="FFFFFF"/>
        </w:rPr>
        <w:t>1</w:t>
      </w:r>
      <w:r w:rsidR="00174677" w:rsidRPr="004E64DB">
        <w:rPr>
          <w:rFonts w:ascii="Garamond" w:hAnsi="Garamond"/>
          <w:color w:val="000000"/>
          <w:sz w:val="20"/>
          <w:szCs w:val="20"/>
          <w:shd w:val="clear" w:color="auto" w:fill="FFFFFF"/>
        </w:rPr>
        <w:t>.</w:t>
      </w:r>
    </w:p>
    <w:p w14:paraId="75F8E1E9" w14:textId="77777777" w:rsidR="0061702A" w:rsidRPr="004E64DB" w:rsidRDefault="0061702A" w:rsidP="004E64DB">
      <w:pPr>
        <w:jc w:val="both"/>
        <w:rPr>
          <w:rFonts w:ascii="Garamond" w:hAnsi="Garamond"/>
          <w:sz w:val="20"/>
          <w:szCs w:val="20"/>
        </w:rPr>
      </w:pPr>
    </w:p>
    <w:p w14:paraId="67FFAAC4" w14:textId="660B690F" w:rsidR="0061702A" w:rsidRPr="004E64DB" w:rsidRDefault="002F3C95" w:rsidP="004E64DB">
      <w:pPr>
        <w:jc w:val="both"/>
        <w:rPr>
          <w:rFonts w:ascii="Garamond" w:hAnsi="Garamond"/>
          <w:sz w:val="20"/>
          <w:szCs w:val="20"/>
        </w:rPr>
      </w:pPr>
      <w:r>
        <w:rPr>
          <w:rFonts w:ascii="Garamond" w:hAnsi="Garamond"/>
          <w:sz w:val="20"/>
          <w:szCs w:val="20"/>
        </w:rPr>
        <w:t>5</w:t>
      </w:r>
      <w:r w:rsidR="005650BE">
        <w:rPr>
          <w:rFonts w:ascii="Garamond" w:hAnsi="Garamond"/>
          <w:sz w:val="20"/>
          <w:szCs w:val="20"/>
        </w:rPr>
        <w:t>4</w:t>
      </w:r>
      <w:r w:rsidR="0061702A" w:rsidRPr="004E64DB">
        <w:rPr>
          <w:rFonts w:ascii="Garamond" w:hAnsi="Garamond"/>
          <w:sz w:val="20"/>
          <w:szCs w:val="20"/>
        </w:rPr>
        <w:t xml:space="preserve">. G. Giraudeau </w:t>
      </w:r>
      <w:r w:rsidR="00871CDA">
        <w:rPr>
          <w:rFonts w:ascii="Garamond" w:hAnsi="Garamond"/>
          <w:sz w:val="20"/>
          <w:szCs w:val="20"/>
        </w:rPr>
        <w:t>et</w:t>
      </w:r>
      <w:r w:rsidR="0061702A" w:rsidRPr="004E64DB">
        <w:rPr>
          <w:rFonts w:ascii="Garamond" w:hAnsi="Garamond"/>
          <w:sz w:val="20"/>
          <w:szCs w:val="20"/>
        </w:rPr>
        <w:t xml:space="preserve"> C. </w:t>
      </w:r>
      <w:proofErr w:type="spellStart"/>
      <w:r w:rsidR="0061702A" w:rsidRPr="004E64DB">
        <w:rPr>
          <w:rFonts w:ascii="Garamond" w:hAnsi="Garamond"/>
          <w:sz w:val="20"/>
          <w:szCs w:val="20"/>
        </w:rPr>
        <w:t>Gravelat</w:t>
      </w:r>
      <w:proofErr w:type="spellEnd"/>
      <w:r w:rsidR="0061702A" w:rsidRPr="004E64DB">
        <w:rPr>
          <w:rFonts w:ascii="Garamond" w:hAnsi="Garamond"/>
          <w:sz w:val="20"/>
          <w:szCs w:val="20"/>
        </w:rPr>
        <w:t xml:space="preserve">, </w:t>
      </w:r>
      <w:r w:rsidR="002F6CDC" w:rsidRPr="004E64DB">
        <w:rPr>
          <w:rFonts w:ascii="Garamond" w:hAnsi="Garamond"/>
          <w:sz w:val="20"/>
          <w:szCs w:val="20"/>
        </w:rPr>
        <w:t xml:space="preserve">« La mise en œuvre des compétences sur le plateau continental et la ZEE des outre-mer : des ambiguïtés de la CNUDM à la complexité des statuts », </w:t>
      </w:r>
      <w:r w:rsidR="0061702A" w:rsidRPr="004E64DB">
        <w:rPr>
          <w:rFonts w:ascii="Garamond" w:hAnsi="Garamond"/>
          <w:i/>
          <w:sz w:val="20"/>
          <w:szCs w:val="20"/>
        </w:rPr>
        <w:t>Annuaire du droit de la mer</w:t>
      </w:r>
      <w:r w:rsidR="0061702A" w:rsidRPr="004E64DB">
        <w:rPr>
          <w:rFonts w:ascii="Garamond" w:hAnsi="Garamond"/>
          <w:sz w:val="20"/>
          <w:szCs w:val="20"/>
        </w:rPr>
        <w:t xml:space="preserve">, 2018, </w:t>
      </w:r>
      <w:r w:rsidR="00800FD5" w:rsidRPr="004E64DB">
        <w:rPr>
          <w:rFonts w:ascii="Garamond" w:hAnsi="Garamond"/>
          <w:sz w:val="20"/>
          <w:szCs w:val="20"/>
        </w:rPr>
        <w:t xml:space="preserve">tome 23, </w:t>
      </w:r>
      <w:r w:rsidR="002F6CDC" w:rsidRPr="004E64DB">
        <w:rPr>
          <w:rFonts w:ascii="Garamond" w:hAnsi="Garamond"/>
          <w:sz w:val="20"/>
          <w:szCs w:val="20"/>
        </w:rPr>
        <w:t>pp. 45-72.</w:t>
      </w:r>
    </w:p>
    <w:p w14:paraId="56471C9C" w14:textId="77777777" w:rsidR="0061702A" w:rsidRPr="004E64DB" w:rsidRDefault="0061702A" w:rsidP="004E64DB">
      <w:pPr>
        <w:jc w:val="both"/>
        <w:rPr>
          <w:rFonts w:ascii="Garamond" w:hAnsi="Garamond"/>
          <w:sz w:val="20"/>
          <w:szCs w:val="20"/>
        </w:rPr>
      </w:pPr>
    </w:p>
    <w:p w14:paraId="01216CBC" w14:textId="70843A7D" w:rsidR="0061702A" w:rsidRPr="004E64DB" w:rsidRDefault="002F3C95" w:rsidP="004E64DB">
      <w:pPr>
        <w:pStyle w:val="PrformatHTML"/>
        <w:jc w:val="both"/>
        <w:rPr>
          <w:rFonts w:ascii="Garamond" w:hAnsi="Garamond" w:cs="Times New Roman"/>
        </w:rPr>
      </w:pPr>
      <w:r>
        <w:rPr>
          <w:rFonts w:ascii="Garamond" w:hAnsi="Garamond" w:cs="Times New Roman"/>
        </w:rPr>
        <w:t>5</w:t>
      </w:r>
      <w:r w:rsidR="005650BE">
        <w:rPr>
          <w:rFonts w:ascii="Garamond" w:hAnsi="Garamond" w:cs="Times New Roman"/>
        </w:rPr>
        <w:t>3</w:t>
      </w:r>
      <w:r w:rsidR="0061702A" w:rsidRPr="004E64DB">
        <w:rPr>
          <w:rFonts w:ascii="Garamond" w:hAnsi="Garamond" w:cs="Times New Roman"/>
        </w:rPr>
        <w:t xml:space="preserve">. </w:t>
      </w:r>
      <w:r w:rsidR="003F6473" w:rsidRPr="004E64DB">
        <w:rPr>
          <w:rFonts w:ascii="Garamond" w:hAnsi="Garamond" w:cs="Times New Roman"/>
        </w:rPr>
        <w:t xml:space="preserve">Les espaces de transition en droit international public », </w:t>
      </w:r>
      <w:r w:rsidR="0061702A" w:rsidRPr="004E64DB">
        <w:rPr>
          <w:rFonts w:ascii="Garamond" w:hAnsi="Garamond" w:cs="Times New Roman"/>
          <w:color w:val="222222"/>
        </w:rPr>
        <w:t xml:space="preserve">pp. 197-214 in A. </w:t>
      </w:r>
      <w:proofErr w:type="spellStart"/>
      <w:r w:rsidR="0061702A" w:rsidRPr="004E64DB">
        <w:rPr>
          <w:rFonts w:ascii="Garamond" w:hAnsi="Garamond" w:cs="Times New Roman"/>
          <w:color w:val="222222"/>
        </w:rPr>
        <w:t>Farinetti</w:t>
      </w:r>
      <w:proofErr w:type="spellEnd"/>
      <w:r w:rsidR="0061702A" w:rsidRPr="004E64DB">
        <w:rPr>
          <w:rFonts w:ascii="Garamond" w:hAnsi="Garamond" w:cs="Times New Roman"/>
          <w:color w:val="222222"/>
        </w:rPr>
        <w:t xml:space="preserve"> (</w:t>
      </w:r>
      <w:proofErr w:type="spellStart"/>
      <w:r w:rsidR="0061702A" w:rsidRPr="004E64DB">
        <w:rPr>
          <w:rFonts w:ascii="Garamond" w:hAnsi="Garamond" w:cs="Times New Roman"/>
          <w:color w:val="222222"/>
        </w:rPr>
        <w:t>dir</w:t>
      </w:r>
      <w:proofErr w:type="spellEnd"/>
      <w:r w:rsidR="0061702A" w:rsidRPr="004E64DB">
        <w:rPr>
          <w:rFonts w:ascii="Garamond" w:hAnsi="Garamond" w:cs="Times New Roman"/>
          <w:color w:val="222222"/>
        </w:rPr>
        <w:t xml:space="preserve">.), </w:t>
      </w:r>
      <w:r w:rsidR="003F6473" w:rsidRPr="004E64DB">
        <w:rPr>
          <w:rFonts w:ascii="Garamond" w:hAnsi="Garamond" w:cs="Times New Roman"/>
          <w:i/>
          <w:iCs/>
          <w:color w:val="222222"/>
        </w:rPr>
        <w:t>Continuités et discontinuités territoriales. Actes du colloque organisé les 12 et 13 novembre 2015 à l’Université de Sceaux</w:t>
      </w:r>
      <w:r w:rsidR="0061702A" w:rsidRPr="004E64DB">
        <w:rPr>
          <w:rFonts w:ascii="Garamond" w:hAnsi="Garamond" w:cs="Times New Roman"/>
          <w:color w:val="222222"/>
        </w:rPr>
        <w:t>, Mare and Martin, 2019.</w:t>
      </w:r>
    </w:p>
    <w:p w14:paraId="7A551686" w14:textId="77777777" w:rsidR="0061702A" w:rsidRPr="004E64DB" w:rsidRDefault="0061702A" w:rsidP="004E64DB">
      <w:pPr>
        <w:jc w:val="both"/>
        <w:rPr>
          <w:rFonts w:ascii="Garamond" w:hAnsi="Garamond"/>
          <w:sz w:val="20"/>
          <w:szCs w:val="20"/>
        </w:rPr>
      </w:pPr>
    </w:p>
    <w:p w14:paraId="2D4E15A8" w14:textId="2369E722" w:rsidR="0061702A" w:rsidRPr="004E64DB" w:rsidRDefault="002F3C95" w:rsidP="004E64DB">
      <w:pPr>
        <w:jc w:val="both"/>
        <w:rPr>
          <w:rFonts w:ascii="Garamond" w:hAnsi="Garamond"/>
          <w:sz w:val="20"/>
          <w:szCs w:val="20"/>
        </w:rPr>
      </w:pPr>
      <w:r>
        <w:rPr>
          <w:rFonts w:ascii="Garamond" w:hAnsi="Garamond"/>
          <w:sz w:val="20"/>
          <w:szCs w:val="20"/>
        </w:rPr>
        <w:t>5</w:t>
      </w:r>
      <w:r w:rsidR="005650BE">
        <w:rPr>
          <w:rFonts w:ascii="Garamond" w:hAnsi="Garamond"/>
          <w:sz w:val="20"/>
          <w:szCs w:val="20"/>
        </w:rPr>
        <w:t>2</w:t>
      </w:r>
      <w:r w:rsidR="0061702A" w:rsidRPr="004E64DB">
        <w:rPr>
          <w:rFonts w:ascii="Garamond" w:hAnsi="Garamond"/>
          <w:sz w:val="20"/>
          <w:szCs w:val="20"/>
        </w:rPr>
        <w:t xml:space="preserve">. </w:t>
      </w:r>
      <w:r w:rsidR="000C7E44">
        <w:rPr>
          <w:rFonts w:ascii="Garamond" w:hAnsi="Garamond"/>
          <w:sz w:val="20"/>
          <w:szCs w:val="20"/>
        </w:rPr>
        <w:t>« </w:t>
      </w:r>
      <w:r w:rsidR="003F6473" w:rsidRPr="004E64DB">
        <w:rPr>
          <w:rFonts w:ascii="Garamond" w:hAnsi="Garamond"/>
          <w:sz w:val="20"/>
          <w:szCs w:val="20"/>
        </w:rPr>
        <w:t xml:space="preserve">Droit du numérique et télécommunications. L’applicabilité du principe de la neutralité du Net en Nouvelle-Calédonie », </w:t>
      </w:r>
      <w:r w:rsidR="0061702A" w:rsidRPr="004E64DB">
        <w:rPr>
          <w:rFonts w:ascii="Garamond" w:hAnsi="Garamond"/>
          <w:i/>
          <w:iCs/>
          <w:sz w:val="20"/>
          <w:szCs w:val="20"/>
        </w:rPr>
        <w:t xml:space="preserve">Cahier du </w:t>
      </w:r>
      <w:proofErr w:type="spellStart"/>
      <w:r w:rsidR="0061702A" w:rsidRPr="004E64DB">
        <w:rPr>
          <w:rFonts w:ascii="Garamond" w:hAnsi="Garamond"/>
          <w:i/>
          <w:iCs/>
          <w:sz w:val="20"/>
          <w:szCs w:val="20"/>
        </w:rPr>
        <w:t>Larje</w:t>
      </w:r>
      <w:proofErr w:type="spellEnd"/>
      <w:r w:rsidR="0061702A" w:rsidRPr="004E64DB">
        <w:rPr>
          <w:rFonts w:ascii="Garamond" w:hAnsi="Garamond"/>
          <w:sz w:val="20"/>
          <w:szCs w:val="20"/>
        </w:rPr>
        <w:t xml:space="preserve"> 2018-6, Ch. </w:t>
      </w:r>
      <w:proofErr w:type="spellStart"/>
      <w:r w:rsidR="0061702A" w:rsidRPr="004E64DB">
        <w:rPr>
          <w:rFonts w:ascii="Garamond" w:hAnsi="Garamond"/>
          <w:sz w:val="20"/>
          <w:szCs w:val="20"/>
        </w:rPr>
        <w:t>Bidaud-Garon</w:t>
      </w:r>
      <w:proofErr w:type="spellEnd"/>
      <w:r w:rsidR="0061702A" w:rsidRPr="004E64DB">
        <w:rPr>
          <w:rFonts w:ascii="Garamond" w:hAnsi="Garamond"/>
          <w:sz w:val="20"/>
          <w:szCs w:val="20"/>
        </w:rPr>
        <w:t xml:space="preserve"> (</w:t>
      </w:r>
      <w:proofErr w:type="spellStart"/>
      <w:r w:rsidR="0061702A" w:rsidRPr="004E64DB">
        <w:rPr>
          <w:rFonts w:ascii="Garamond" w:hAnsi="Garamond"/>
          <w:sz w:val="20"/>
          <w:szCs w:val="20"/>
        </w:rPr>
        <w:t>dir</w:t>
      </w:r>
      <w:proofErr w:type="spellEnd"/>
      <w:r w:rsidR="0061702A" w:rsidRPr="004E64DB">
        <w:rPr>
          <w:rFonts w:ascii="Garamond" w:hAnsi="Garamond"/>
          <w:sz w:val="20"/>
          <w:szCs w:val="20"/>
        </w:rPr>
        <w:t>.), pp. 48-54.</w:t>
      </w:r>
    </w:p>
    <w:p w14:paraId="27A1A087" w14:textId="77777777" w:rsidR="00457902" w:rsidRPr="004E64DB" w:rsidRDefault="00457902" w:rsidP="004E64DB">
      <w:pPr>
        <w:jc w:val="both"/>
        <w:rPr>
          <w:rFonts w:ascii="Garamond" w:hAnsi="Garamond"/>
          <w:sz w:val="20"/>
          <w:szCs w:val="20"/>
        </w:rPr>
      </w:pPr>
    </w:p>
    <w:p w14:paraId="7E98345B" w14:textId="2FAAE526" w:rsidR="00155293" w:rsidRPr="004E64DB" w:rsidRDefault="005650BE" w:rsidP="004E64DB">
      <w:pPr>
        <w:jc w:val="both"/>
        <w:rPr>
          <w:rFonts w:ascii="Garamond" w:hAnsi="Garamond"/>
          <w:sz w:val="20"/>
          <w:szCs w:val="20"/>
        </w:rPr>
      </w:pPr>
      <w:r>
        <w:rPr>
          <w:rFonts w:ascii="Garamond" w:hAnsi="Garamond"/>
          <w:sz w:val="20"/>
          <w:szCs w:val="20"/>
        </w:rPr>
        <w:t>51</w:t>
      </w:r>
      <w:r w:rsidR="00155293" w:rsidRPr="004E64DB">
        <w:rPr>
          <w:rFonts w:ascii="Garamond" w:hAnsi="Garamond"/>
          <w:sz w:val="20"/>
          <w:szCs w:val="20"/>
        </w:rPr>
        <w:t xml:space="preserve">. « La sentence arbitrale rendue sur le fond le 29 juin 2017 en l’affaire du </w:t>
      </w:r>
      <w:r w:rsidR="001E1CCF" w:rsidRPr="004E64DB">
        <w:rPr>
          <w:rFonts w:ascii="Garamond" w:hAnsi="Garamond"/>
          <w:sz w:val="20"/>
          <w:szCs w:val="20"/>
        </w:rPr>
        <w:t>différend</w:t>
      </w:r>
      <w:r w:rsidR="00155293" w:rsidRPr="004E64DB">
        <w:rPr>
          <w:rFonts w:ascii="Garamond" w:hAnsi="Garamond"/>
          <w:sz w:val="20"/>
          <w:szCs w:val="20"/>
        </w:rPr>
        <w:t xml:space="preserve"> territorial et maritime entre la Croatie et la </w:t>
      </w:r>
      <w:proofErr w:type="spellStart"/>
      <w:r w:rsidR="00155293" w:rsidRPr="004E64DB">
        <w:rPr>
          <w:rFonts w:ascii="Garamond" w:hAnsi="Garamond"/>
          <w:sz w:val="20"/>
          <w:szCs w:val="20"/>
        </w:rPr>
        <w:t>Slovénie</w:t>
      </w:r>
      <w:proofErr w:type="spellEnd"/>
      <w:r w:rsidR="00155293" w:rsidRPr="004E64DB">
        <w:rPr>
          <w:rFonts w:ascii="Garamond" w:hAnsi="Garamond"/>
          <w:sz w:val="20"/>
          <w:szCs w:val="20"/>
        </w:rPr>
        <w:t xml:space="preserve"> », </w:t>
      </w:r>
      <w:r w:rsidR="00155293" w:rsidRPr="004E64DB">
        <w:rPr>
          <w:rFonts w:ascii="Garamond" w:hAnsi="Garamond"/>
          <w:i/>
          <w:iCs/>
          <w:sz w:val="20"/>
          <w:szCs w:val="20"/>
        </w:rPr>
        <w:t xml:space="preserve">Annuaire </w:t>
      </w:r>
      <w:proofErr w:type="spellStart"/>
      <w:r w:rsidR="00155293" w:rsidRPr="004E64DB">
        <w:rPr>
          <w:rFonts w:ascii="Garamond" w:hAnsi="Garamond"/>
          <w:i/>
          <w:iCs/>
          <w:sz w:val="20"/>
          <w:szCs w:val="20"/>
        </w:rPr>
        <w:t>franc</w:t>
      </w:r>
      <w:r w:rsidR="00155293" w:rsidRPr="004E64DB">
        <w:rPr>
          <w:i/>
          <w:iCs/>
          <w:sz w:val="20"/>
          <w:szCs w:val="20"/>
        </w:rPr>
        <w:t>̧</w:t>
      </w:r>
      <w:r w:rsidR="00155293" w:rsidRPr="004E64DB">
        <w:rPr>
          <w:rFonts w:ascii="Garamond" w:hAnsi="Garamond"/>
          <w:i/>
          <w:iCs/>
          <w:sz w:val="20"/>
          <w:szCs w:val="20"/>
        </w:rPr>
        <w:t>ais</w:t>
      </w:r>
      <w:proofErr w:type="spellEnd"/>
      <w:r w:rsidR="00155293" w:rsidRPr="004E64DB">
        <w:rPr>
          <w:rFonts w:ascii="Garamond" w:hAnsi="Garamond"/>
          <w:i/>
          <w:iCs/>
          <w:sz w:val="20"/>
          <w:szCs w:val="20"/>
        </w:rPr>
        <w:t xml:space="preserve"> de droit international</w:t>
      </w:r>
      <w:r w:rsidR="00155293" w:rsidRPr="004E64DB">
        <w:rPr>
          <w:rFonts w:ascii="Garamond" w:hAnsi="Garamond"/>
          <w:sz w:val="20"/>
          <w:szCs w:val="20"/>
        </w:rPr>
        <w:t xml:space="preserve">, 2017, pp. 237-255. </w:t>
      </w:r>
    </w:p>
    <w:p w14:paraId="301D74AE" w14:textId="3F261780" w:rsidR="0061702A" w:rsidRPr="004E64DB" w:rsidRDefault="005650BE" w:rsidP="004E64DB">
      <w:pPr>
        <w:spacing w:before="100" w:beforeAutospacing="1" w:after="100" w:afterAutospacing="1"/>
        <w:jc w:val="both"/>
        <w:rPr>
          <w:rFonts w:ascii="Garamond" w:hAnsi="Garamond"/>
          <w:sz w:val="20"/>
          <w:szCs w:val="20"/>
        </w:rPr>
      </w:pPr>
      <w:r>
        <w:rPr>
          <w:rFonts w:ascii="Garamond" w:hAnsi="Garamond"/>
          <w:sz w:val="20"/>
          <w:szCs w:val="20"/>
        </w:rPr>
        <w:t>50</w:t>
      </w:r>
      <w:r w:rsidR="00155293" w:rsidRPr="004E64DB">
        <w:rPr>
          <w:rFonts w:ascii="Garamond" w:hAnsi="Garamond"/>
          <w:sz w:val="20"/>
          <w:szCs w:val="20"/>
        </w:rPr>
        <w:t xml:space="preserve">. « Le droit international et les transitions constitutionnelles », pp. 19-28 </w:t>
      </w:r>
      <w:r w:rsidR="00155293" w:rsidRPr="004E64DB">
        <w:rPr>
          <w:rFonts w:ascii="Garamond" w:hAnsi="Garamond"/>
          <w:i/>
          <w:iCs/>
          <w:sz w:val="20"/>
          <w:szCs w:val="20"/>
        </w:rPr>
        <w:t xml:space="preserve">in </w:t>
      </w:r>
      <w:proofErr w:type="spellStart"/>
      <w:r w:rsidR="00155293" w:rsidRPr="004E64DB">
        <w:rPr>
          <w:rFonts w:ascii="Garamond" w:hAnsi="Garamond"/>
          <w:sz w:val="20"/>
          <w:szCs w:val="20"/>
        </w:rPr>
        <w:t>Larje</w:t>
      </w:r>
      <w:proofErr w:type="spellEnd"/>
      <w:r w:rsidR="00155293" w:rsidRPr="004E64DB">
        <w:rPr>
          <w:rFonts w:ascii="Garamond" w:hAnsi="Garamond"/>
          <w:sz w:val="20"/>
          <w:szCs w:val="20"/>
        </w:rPr>
        <w:t xml:space="preserve">, </w:t>
      </w:r>
      <w:r w:rsidR="00155293" w:rsidRPr="004E64DB">
        <w:rPr>
          <w:rFonts w:ascii="Garamond" w:hAnsi="Garamond"/>
          <w:i/>
          <w:iCs/>
          <w:sz w:val="20"/>
          <w:szCs w:val="20"/>
        </w:rPr>
        <w:t xml:space="preserve">L’avenir institutionnel de la </w:t>
      </w:r>
      <w:proofErr w:type="spellStart"/>
      <w:r w:rsidR="00155293" w:rsidRPr="004E64DB">
        <w:rPr>
          <w:rFonts w:ascii="Garamond" w:hAnsi="Garamond"/>
          <w:i/>
          <w:iCs/>
          <w:sz w:val="20"/>
          <w:szCs w:val="20"/>
        </w:rPr>
        <w:t>Nouvelle-Calédonie</w:t>
      </w:r>
      <w:proofErr w:type="spellEnd"/>
      <w:r w:rsidR="00155293" w:rsidRPr="004E64DB">
        <w:rPr>
          <w:rFonts w:ascii="Garamond" w:hAnsi="Garamond"/>
          <w:sz w:val="20"/>
          <w:szCs w:val="20"/>
        </w:rPr>
        <w:t>, PUNC, 2018, 288 p.</w:t>
      </w:r>
    </w:p>
    <w:p w14:paraId="75120728" w14:textId="4F7FF0D7" w:rsidR="00155293" w:rsidRPr="004E64DB" w:rsidRDefault="002F3C95" w:rsidP="004E64DB">
      <w:pPr>
        <w:spacing w:before="100" w:beforeAutospacing="1" w:after="100" w:afterAutospacing="1"/>
        <w:jc w:val="both"/>
        <w:rPr>
          <w:rFonts w:ascii="Garamond" w:hAnsi="Garamond"/>
          <w:sz w:val="20"/>
          <w:szCs w:val="20"/>
        </w:rPr>
      </w:pPr>
      <w:r>
        <w:rPr>
          <w:rFonts w:ascii="Garamond" w:hAnsi="Garamond"/>
          <w:sz w:val="20"/>
          <w:szCs w:val="20"/>
        </w:rPr>
        <w:t>4</w:t>
      </w:r>
      <w:r w:rsidR="005650BE">
        <w:rPr>
          <w:rFonts w:ascii="Garamond" w:hAnsi="Garamond"/>
          <w:sz w:val="20"/>
          <w:szCs w:val="20"/>
        </w:rPr>
        <w:t>9</w:t>
      </w:r>
      <w:r w:rsidR="0061702A" w:rsidRPr="004E64DB">
        <w:rPr>
          <w:rFonts w:ascii="Garamond" w:hAnsi="Garamond"/>
          <w:sz w:val="20"/>
          <w:szCs w:val="20"/>
        </w:rPr>
        <w:t xml:space="preserve"> bis. « Le </w:t>
      </w:r>
      <w:proofErr w:type="spellStart"/>
      <w:r w:rsidR="0061702A" w:rsidRPr="004E64DB">
        <w:rPr>
          <w:rFonts w:ascii="Garamond" w:hAnsi="Garamond"/>
          <w:sz w:val="20"/>
          <w:szCs w:val="20"/>
        </w:rPr>
        <w:t>Saint-Siège</w:t>
      </w:r>
      <w:proofErr w:type="spellEnd"/>
      <w:r w:rsidR="0061702A" w:rsidRPr="004E64DB">
        <w:rPr>
          <w:rFonts w:ascii="Garamond" w:hAnsi="Garamond"/>
          <w:sz w:val="20"/>
          <w:szCs w:val="20"/>
        </w:rPr>
        <w:t xml:space="preserve"> et le Conseil de l’Europe », actes du colloque de l’</w:t>
      </w:r>
      <w:proofErr w:type="spellStart"/>
      <w:r w:rsidR="0061702A" w:rsidRPr="004E64DB">
        <w:rPr>
          <w:rFonts w:ascii="Garamond" w:hAnsi="Garamond"/>
          <w:sz w:val="20"/>
          <w:szCs w:val="20"/>
        </w:rPr>
        <w:t>Universite</w:t>
      </w:r>
      <w:proofErr w:type="spellEnd"/>
      <w:r w:rsidR="0061702A" w:rsidRPr="004E64DB">
        <w:rPr>
          <w:rFonts w:ascii="Garamond" w:hAnsi="Garamond"/>
          <w:sz w:val="20"/>
          <w:szCs w:val="20"/>
        </w:rPr>
        <w:t xml:space="preserve">́ de Nanterre, </w:t>
      </w:r>
      <w:r w:rsidR="004517DC" w:rsidRPr="004E64DB">
        <w:rPr>
          <w:rFonts w:ascii="Garamond" w:hAnsi="Garamond"/>
          <w:i/>
          <w:iCs/>
          <w:sz w:val="20"/>
          <w:szCs w:val="20"/>
        </w:rPr>
        <w:t>in</w:t>
      </w:r>
      <w:r w:rsidR="004517DC" w:rsidRPr="004E64DB">
        <w:rPr>
          <w:rFonts w:ascii="Garamond" w:hAnsi="Garamond"/>
          <w:sz w:val="20"/>
          <w:szCs w:val="20"/>
        </w:rPr>
        <w:t xml:space="preserve"> A._L. Chaumette et N. </w:t>
      </w:r>
      <w:proofErr w:type="spellStart"/>
      <w:r w:rsidR="004517DC" w:rsidRPr="004E64DB">
        <w:rPr>
          <w:rFonts w:ascii="Garamond" w:hAnsi="Garamond"/>
          <w:sz w:val="20"/>
          <w:szCs w:val="20"/>
        </w:rPr>
        <w:t>Haupais</w:t>
      </w:r>
      <w:proofErr w:type="spellEnd"/>
      <w:r w:rsidR="004517DC" w:rsidRPr="004E64DB">
        <w:rPr>
          <w:rFonts w:ascii="Garamond" w:hAnsi="Garamond"/>
          <w:sz w:val="20"/>
          <w:szCs w:val="20"/>
        </w:rPr>
        <w:t xml:space="preserve">, </w:t>
      </w:r>
      <w:r w:rsidR="0061702A" w:rsidRPr="004E64DB">
        <w:rPr>
          <w:rFonts w:ascii="Garamond" w:hAnsi="Garamond"/>
          <w:i/>
          <w:iCs/>
          <w:sz w:val="20"/>
          <w:szCs w:val="20"/>
        </w:rPr>
        <w:t>La religion et le droit international</w:t>
      </w:r>
      <w:r w:rsidR="0061702A" w:rsidRPr="004E64DB">
        <w:rPr>
          <w:rFonts w:ascii="Garamond" w:hAnsi="Garamond"/>
          <w:sz w:val="20"/>
          <w:szCs w:val="20"/>
        </w:rPr>
        <w:t xml:space="preserve">, </w:t>
      </w:r>
      <w:r w:rsidR="004517DC" w:rsidRPr="004E64DB">
        <w:rPr>
          <w:rFonts w:ascii="Garamond" w:hAnsi="Garamond"/>
          <w:sz w:val="20"/>
          <w:szCs w:val="20"/>
        </w:rPr>
        <w:t xml:space="preserve">Paris, </w:t>
      </w:r>
      <w:proofErr w:type="spellStart"/>
      <w:r w:rsidR="0061702A" w:rsidRPr="004E64DB">
        <w:rPr>
          <w:rFonts w:ascii="Garamond" w:hAnsi="Garamond"/>
          <w:sz w:val="20"/>
          <w:szCs w:val="20"/>
        </w:rPr>
        <w:t>Pedone</w:t>
      </w:r>
      <w:proofErr w:type="spellEnd"/>
      <w:r w:rsidR="0061702A" w:rsidRPr="004E64DB">
        <w:rPr>
          <w:rFonts w:ascii="Garamond" w:hAnsi="Garamond"/>
          <w:sz w:val="20"/>
          <w:szCs w:val="20"/>
        </w:rPr>
        <w:t>, 2018</w:t>
      </w:r>
      <w:r w:rsidR="004517DC" w:rsidRPr="004E64DB">
        <w:rPr>
          <w:rFonts w:ascii="Garamond" w:hAnsi="Garamond"/>
          <w:sz w:val="20"/>
          <w:szCs w:val="20"/>
        </w:rPr>
        <w:t>, pp. 119-142</w:t>
      </w:r>
      <w:r w:rsidR="0061702A" w:rsidRPr="004E64DB">
        <w:rPr>
          <w:rFonts w:ascii="Garamond" w:hAnsi="Garamond"/>
          <w:sz w:val="20"/>
          <w:szCs w:val="20"/>
        </w:rPr>
        <w:t xml:space="preserve">. </w:t>
      </w:r>
    </w:p>
    <w:p w14:paraId="4FA98277" w14:textId="13313BE1" w:rsidR="00155293" w:rsidRPr="004E64DB" w:rsidRDefault="002F3C95" w:rsidP="004E64DB">
      <w:pPr>
        <w:spacing w:before="100" w:beforeAutospacing="1" w:after="100" w:afterAutospacing="1"/>
        <w:jc w:val="both"/>
        <w:rPr>
          <w:rFonts w:ascii="Garamond" w:hAnsi="Garamond"/>
          <w:sz w:val="20"/>
          <w:szCs w:val="20"/>
        </w:rPr>
      </w:pPr>
      <w:r>
        <w:rPr>
          <w:rFonts w:ascii="Garamond" w:hAnsi="Garamond"/>
          <w:sz w:val="20"/>
          <w:szCs w:val="20"/>
        </w:rPr>
        <w:t>4</w:t>
      </w:r>
      <w:r w:rsidR="005650BE">
        <w:rPr>
          <w:rFonts w:ascii="Garamond" w:hAnsi="Garamond"/>
          <w:sz w:val="20"/>
          <w:szCs w:val="20"/>
        </w:rPr>
        <w:t>9</w:t>
      </w:r>
      <w:r w:rsidR="00155293" w:rsidRPr="004E64DB">
        <w:rPr>
          <w:rFonts w:ascii="Garamond" w:hAnsi="Garamond"/>
          <w:sz w:val="20"/>
          <w:szCs w:val="20"/>
        </w:rPr>
        <w:t xml:space="preserve">. « La Santa </w:t>
      </w:r>
      <w:proofErr w:type="spellStart"/>
      <w:r w:rsidR="00155293" w:rsidRPr="004E64DB">
        <w:rPr>
          <w:rFonts w:ascii="Garamond" w:hAnsi="Garamond"/>
          <w:sz w:val="20"/>
          <w:szCs w:val="20"/>
        </w:rPr>
        <w:t>Sede</w:t>
      </w:r>
      <w:proofErr w:type="spellEnd"/>
      <w:r w:rsidR="00155293" w:rsidRPr="004E64DB">
        <w:rPr>
          <w:rFonts w:ascii="Garamond" w:hAnsi="Garamond"/>
          <w:sz w:val="20"/>
          <w:szCs w:val="20"/>
        </w:rPr>
        <w:t xml:space="preserve"> y el </w:t>
      </w:r>
      <w:proofErr w:type="spellStart"/>
      <w:r w:rsidR="00155293" w:rsidRPr="004E64DB">
        <w:rPr>
          <w:rFonts w:ascii="Garamond" w:hAnsi="Garamond"/>
          <w:sz w:val="20"/>
          <w:szCs w:val="20"/>
        </w:rPr>
        <w:t>Consejo</w:t>
      </w:r>
      <w:proofErr w:type="spellEnd"/>
      <w:r w:rsidR="00155293" w:rsidRPr="004E64DB">
        <w:rPr>
          <w:rFonts w:ascii="Garamond" w:hAnsi="Garamond"/>
          <w:sz w:val="20"/>
          <w:szCs w:val="20"/>
        </w:rPr>
        <w:t xml:space="preserve"> de Europa », </w:t>
      </w:r>
      <w:proofErr w:type="spellStart"/>
      <w:r w:rsidR="00155293" w:rsidRPr="004E64DB">
        <w:rPr>
          <w:rFonts w:ascii="Garamond" w:hAnsi="Garamond"/>
          <w:i/>
          <w:iCs/>
          <w:sz w:val="20"/>
          <w:szCs w:val="20"/>
        </w:rPr>
        <w:t>Anuario</w:t>
      </w:r>
      <w:proofErr w:type="spellEnd"/>
      <w:r w:rsidR="00155293" w:rsidRPr="004E64DB">
        <w:rPr>
          <w:rFonts w:ascii="Garamond" w:hAnsi="Garamond"/>
          <w:i/>
          <w:iCs/>
          <w:sz w:val="20"/>
          <w:szCs w:val="20"/>
        </w:rPr>
        <w:t xml:space="preserve"> </w:t>
      </w:r>
      <w:proofErr w:type="spellStart"/>
      <w:r w:rsidR="00155293" w:rsidRPr="004E64DB">
        <w:rPr>
          <w:rFonts w:ascii="Garamond" w:hAnsi="Garamond"/>
          <w:i/>
          <w:iCs/>
          <w:sz w:val="20"/>
          <w:szCs w:val="20"/>
        </w:rPr>
        <w:t>Espa</w:t>
      </w:r>
      <w:r w:rsidR="00725452">
        <w:rPr>
          <w:rFonts w:ascii="Garamond" w:hAnsi="Garamond"/>
          <w:i/>
          <w:iCs/>
          <w:sz w:val="20"/>
          <w:szCs w:val="20"/>
        </w:rPr>
        <w:t>ñ</w:t>
      </w:r>
      <w:r w:rsidR="00155293" w:rsidRPr="004E64DB">
        <w:rPr>
          <w:rFonts w:ascii="Garamond" w:hAnsi="Garamond"/>
          <w:i/>
          <w:iCs/>
          <w:sz w:val="20"/>
          <w:szCs w:val="20"/>
        </w:rPr>
        <w:t>ol</w:t>
      </w:r>
      <w:proofErr w:type="spellEnd"/>
      <w:r w:rsidR="00155293" w:rsidRPr="004E64DB">
        <w:rPr>
          <w:rFonts w:ascii="Garamond" w:hAnsi="Garamond"/>
          <w:i/>
          <w:iCs/>
          <w:sz w:val="20"/>
          <w:szCs w:val="20"/>
        </w:rPr>
        <w:t xml:space="preserve"> de </w:t>
      </w:r>
      <w:proofErr w:type="spellStart"/>
      <w:r w:rsidR="00155293" w:rsidRPr="004E64DB">
        <w:rPr>
          <w:rFonts w:ascii="Garamond" w:hAnsi="Garamond"/>
          <w:i/>
          <w:iCs/>
          <w:sz w:val="20"/>
          <w:szCs w:val="20"/>
        </w:rPr>
        <w:t>Derecho</w:t>
      </w:r>
      <w:proofErr w:type="spellEnd"/>
      <w:r w:rsidR="00155293" w:rsidRPr="004E64DB">
        <w:rPr>
          <w:rFonts w:ascii="Garamond" w:hAnsi="Garamond"/>
          <w:i/>
          <w:iCs/>
          <w:sz w:val="20"/>
          <w:szCs w:val="20"/>
        </w:rPr>
        <w:t xml:space="preserve"> </w:t>
      </w:r>
      <w:proofErr w:type="spellStart"/>
      <w:r w:rsidR="00155293" w:rsidRPr="004E64DB">
        <w:rPr>
          <w:rFonts w:ascii="Garamond" w:hAnsi="Garamond"/>
          <w:i/>
          <w:iCs/>
          <w:sz w:val="20"/>
          <w:szCs w:val="20"/>
        </w:rPr>
        <w:t>Interacional</w:t>
      </w:r>
      <w:proofErr w:type="spellEnd"/>
      <w:r w:rsidR="00155293" w:rsidRPr="004E64DB">
        <w:rPr>
          <w:rFonts w:ascii="Garamond" w:hAnsi="Garamond"/>
          <w:sz w:val="20"/>
          <w:szCs w:val="20"/>
        </w:rPr>
        <w:t xml:space="preserve">, v. 34, 2018, pp. 207-228. </w:t>
      </w:r>
    </w:p>
    <w:p w14:paraId="34FEEFAA" w14:textId="5EF733A1" w:rsidR="00155293" w:rsidRPr="004E64DB" w:rsidRDefault="002F3C95" w:rsidP="004E64DB">
      <w:pPr>
        <w:spacing w:before="100" w:beforeAutospacing="1" w:after="100" w:afterAutospacing="1"/>
        <w:jc w:val="both"/>
        <w:rPr>
          <w:rFonts w:ascii="Garamond" w:hAnsi="Garamond"/>
          <w:sz w:val="20"/>
          <w:szCs w:val="20"/>
        </w:rPr>
      </w:pPr>
      <w:r>
        <w:rPr>
          <w:rFonts w:ascii="Garamond" w:hAnsi="Garamond"/>
          <w:sz w:val="20"/>
          <w:szCs w:val="20"/>
        </w:rPr>
        <w:t>4</w:t>
      </w:r>
      <w:r w:rsidR="005650BE">
        <w:rPr>
          <w:rFonts w:ascii="Garamond" w:hAnsi="Garamond"/>
          <w:sz w:val="20"/>
          <w:szCs w:val="20"/>
        </w:rPr>
        <w:t>8</w:t>
      </w:r>
      <w:r w:rsidR="00155293" w:rsidRPr="004E64DB">
        <w:rPr>
          <w:rFonts w:ascii="Garamond" w:hAnsi="Garamond"/>
          <w:sz w:val="20"/>
          <w:szCs w:val="20"/>
        </w:rPr>
        <w:t xml:space="preserve">. « La France et le droit d’asile : quelques observations juridiques sur les </w:t>
      </w:r>
      <w:proofErr w:type="spellStart"/>
      <w:r w:rsidR="00155293" w:rsidRPr="004E64DB">
        <w:rPr>
          <w:rFonts w:ascii="Garamond" w:hAnsi="Garamond"/>
          <w:sz w:val="20"/>
          <w:szCs w:val="20"/>
        </w:rPr>
        <w:t>procédures</w:t>
      </w:r>
      <w:proofErr w:type="spellEnd"/>
      <w:r w:rsidR="00155293" w:rsidRPr="004E64DB">
        <w:rPr>
          <w:rFonts w:ascii="Garamond" w:hAnsi="Garamond"/>
          <w:sz w:val="20"/>
          <w:szCs w:val="20"/>
        </w:rPr>
        <w:t xml:space="preserve"> et la situation des personnes », </w:t>
      </w:r>
      <w:proofErr w:type="spellStart"/>
      <w:r w:rsidR="00155293" w:rsidRPr="004E64DB">
        <w:rPr>
          <w:rFonts w:ascii="Garamond" w:hAnsi="Garamond"/>
          <w:i/>
          <w:iCs/>
          <w:sz w:val="20"/>
          <w:szCs w:val="20"/>
        </w:rPr>
        <w:t>Ethique</w:t>
      </w:r>
      <w:proofErr w:type="spellEnd"/>
      <w:r w:rsidR="00155293" w:rsidRPr="004E64DB">
        <w:rPr>
          <w:rFonts w:ascii="Garamond" w:hAnsi="Garamond"/>
          <w:i/>
          <w:iCs/>
          <w:sz w:val="20"/>
          <w:szCs w:val="20"/>
        </w:rPr>
        <w:t xml:space="preserve"> et Santé</w:t>
      </w:r>
      <w:r w:rsidR="00155293" w:rsidRPr="004E64DB">
        <w:rPr>
          <w:rFonts w:ascii="Garamond" w:hAnsi="Garamond"/>
          <w:sz w:val="20"/>
          <w:szCs w:val="20"/>
        </w:rPr>
        <w:t xml:space="preserve">, Volume 15, Issue 2, Juin 2018, pp. 97-104. </w:t>
      </w:r>
    </w:p>
    <w:p w14:paraId="333D1DD5" w14:textId="7B43BDBB" w:rsidR="00155293" w:rsidRPr="004E64DB" w:rsidRDefault="002F3C95" w:rsidP="004E64DB">
      <w:pPr>
        <w:spacing w:before="100" w:beforeAutospacing="1" w:after="100" w:afterAutospacing="1"/>
        <w:jc w:val="both"/>
        <w:rPr>
          <w:rFonts w:ascii="Garamond" w:hAnsi="Garamond"/>
          <w:sz w:val="20"/>
          <w:szCs w:val="20"/>
        </w:rPr>
      </w:pPr>
      <w:r>
        <w:rPr>
          <w:rFonts w:ascii="Garamond" w:hAnsi="Garamond"/>
          <w:sz w:val="20"/>
          <w:szCs w:val="20"/>
        </w:rPr>
        <w:t>4</w:t>
      </w:r>
      <w:r w:rsidR="005650BE">
        <w:rPr>
          <w:rFonts w:ascii="Garamond" w:hAnsi="Garamond"/>
          <w:sz w:val="20"/>
          <w:szCs w:val="20"/>
        </w:rPr>
        <w:t>7</w:t>
      </w:r>
      <w:r w:rsidR="00155293" w:rsidRPr="004E64DB">
        <w:rPr>
          <w:rFonts w:ascii="Garamond" w:hAnsi="Garamond"/>
          <w:sz w:val="20"/>
          <w:szCs w:val="20"/>
        </w:rPr>
        <w:t xml:space="preserve">. « Les nouvelles obligations et les obligations </w:t>
      </w:r>
      <w:proofErr w:type="spellStart"/>
      <w:r w:rsidR="00155293" w:rsidRPr="004E64DB">
        <w:rPr>
          <w:rFonts w:ascii="Garamond" w:hAnsi="Garamond"/>
          <w:sz w:val="20"/>
          <w:szCs w:val="20"/>
        </w:rPr>
        <w:t>renouvelées</w:t>
      </w:r>
      <w:proofErr w:type="spellEnd"/>
      <w:r w:rsidR="00155293" w:rsidRPr="004E64DB">
        <w:rPr>
          <w:rFonts w:ascii="Garamond" w:hAnsi="Garamond"/>
          <w:sz w:val="20"/>
          <w:szCs w:val="20"/>
        </w:rPr>
        <w:t xml:space="preserve"> des </w:t>
      </w:r>
      <w:proofErr w:type="spellStart"/>
      <w:r w:rsidR="00155293" w:rsidRPr="004E64DB">
        <w:rPr>
          <w:rFonts w:ascii="Garamond" w:hAnsi="Garamond"/>
          <w:sz w:val="20"/>
          <w:szCs w:val="20"/>
        </w:rPr>
        <w:t>Etats</w:t>
      </w:r>
      <w:proofErr w:type="spellEnd"/>
      <w:r w:rsidR="00155293" w:rsidRPr="004E64DB">
        <w:rPr>
          <w:rFonts w:ascii="Garamond" w:hAnsi="Garamond"/>
          <w:sz w:val="20"/>
          <w:szCs w:val="20"/>
        </w:rPr>
        <w:t xml:space="preserve"> à l’</w:t>
      </w:r>
      <w:proofErr w:type="spellStart"/>
      <w:r w:rsidR="00155293" w:rsidRPr="004E64DB">
        <w:rPr>
          <w:rFonts w:ascii="Garamond" w:hAnsi="Garamond"/>
          <w:sz w:val="20"/>
          <w:szCs w:val="20"/>
        </w:rPr>
        <w:t>ère</w:t>
      </w:r>
      <w:proofErr w:type="spellEnd"/>
      <w:r w:rsidR="00155293" w:rsidRPr="004E64DB">
        <w:rPr>
          <w:rFonts w:ascii="Garamond" w:hAnsi="Garamond"/>
          <w:sz w:val="20"/>
          <w:szCs w:val="20"/>
        </w:rPr>
        <w:t xml:space="preserve"> du </w:t>
      </w:r>
      <w:proofErr w:type="spellStart"/>
      <w:r w:rsidR="00155293" w:rsidRPr="004E64DB">
        <w:rPr>
          <w:rFonts w:ascii="Garamond" w:hAnsi="Garamond"/>
          <w:sz w:val="20"/>
          <w:szCs w:val="20"/>
        </w:rPr>
        <w:t>numérique</w:t>
      </w:r>
      <w:proofErr w:type="spellEnd"/>
      <w:r w:rsidR="00155293" w:rsidRPr="004E64DB">
        <w:rPr>
          <w:rFonts w:ascii="Garamond" w:hAnsi="Garamond"/>
          <w:sz w:val="20"/>
          <w:szCs w:val="20"/>
        </w:rPr>
        <w:t xml:space="preserve"> », Actes du colloque de l’</w:t>
      </w:r>
      <w:proofErr w:type="spellStart"/>
      <w:r w:rsidR="00155293" w:rsidRPr="004E64DB">
        <w:rPr>
          <w:rFonts w:ascii="Garamond" w:hAnsi="Garamond"/>
          <w:sz w:val="20"/>
          <w:szCs w:val="20"/>
        </w:rPr>
        <w:t>Universite</w:t>
      </w:r>
      <w:proofErr w:type="spellEnd"/>
      <w:r w:rsidR="00155293" w:rsidRPr="004E64DB">
        <w:rPr>
          <w:rFonts w:ascii="Garamond" w:hAnsi="Garamond"/>
          <w:sz w:val="20"/>
          <w:szCs w:val="20"/>
        </w:rPr>
        <w:t xml:space="preserve">́ de Perpignan (mars 2017), S. </w:t>
      </w:r>
      <w:proofErr w:type="spellStart"/>
      <w:r w:rsidR="00155293" w:rsidRPr="004E64DB">
        <w:rPr>
          <w:rFonts w:ascii="Garamond" w:hAnsi="Garamond"/>
          <w:sz w:val="20"/>
          <w:szCs w:val="20"/>
        </w:rPr>
        <w:t>Chatry</w:t>
      </w:r>
      <w:proofErr w:type="spellEnd"/>
      <w:r w:rsidR="00155293" w:rsidRPr="004E64DB">
        <w:rPr>
          <w:rFonts w:ascii="Garamond" w:hAnsi="Garamond"/>
          <w:sz w:val="20"/>
          <w:szCs w:val="20"/>
        </w:rPr>
        <w:t xml:space="preserve"> et Th. </w:t>
      </w:r>
      <w:proofErr w:type="spellStart"/>
      <w:r w:rsidR="00155293" w:rsidRPr="004E64DB">
        <w:rPr>
          <w:rFonts w:ascii="Garamond" w:hAnsi="Garamond"/>
          <w:sz w:val="20"/>
          <w:szCs w:val="20"/>
        </w:rPr>
        <w:t>Gobert</w:t>
      </w:r>
      <w:proofErr w:type="spellEnd"/>
      <w:r w:rsidR="00155293" w:rsidRPr="004E64DB">
        <w:rPr>
          <w:rFonts w:ascii="Garamond" w:hAnsi="Garamond"/>
          <w:sz w:val="20"/>
          <w:szCs w:val="20"/>
        </w:rPr>
        <w:t xml:space="preserve"> (</w:t>
      </w:r>
      <w:proofErr w:type="spellStart"/>
      <w:r w:rsidR="00155293" w:rsidRPr="004E64DB">
        <w:rPr>
          <w:rFonts w:ascii="Garamond" w:hAnsi="Garamond"/>
          <w:sz w:val="20"/>
          <w:szCs w:val="20"/>
        </w:rPr>
        <w:t>dir</w:t>
      </w:r>
      <w:proofErr w:type="spellEnd"/>
      <w:r w:rsidR="00155293" w:rsidRPr="004E64DB">
        <w:rPr>
          <w:rFonts w:ascii="Garamond" w:hAnsi="Garamond"/>
          <w:sz w:val="20"/>
          <w:szCs w:val="20"/>
        </w:rPr>
        <w:t xml:space="preserve">.), </w:t>
      </w:r>
      <w:proofErr w:type="spellStart"/>
      <w:r w:rsidR="00155293" w:rsidRPr="004E64DB">
        <w:rPr>
          <w:rFonts w:ascii="Garamond" w:hAnsi="Garamond"/>
          <w:i/>
          <w:iCs/>
          <w:sz w:val="20"/>
          <w:szCs w:val="20"/>
        </w:rPr>
        <w:t>Numérique</w:t>
      </w:r>
      <w:proofErr w:type="spellEnd"/>
      <w:r w:rsidR="00155293" w:rsidRPr="004E64DB">
        <w:rPr>
          <w:rFonts w:ascii="Garamond" w:hAnsi="Garamond"/>
          <w:i/>
          <w:iCs/>
          <w:sz w:val="20"/>
          <w:szCs w:val="20"/>
        </w:rPr>
        <w:t xml:space="preserve"> : nouveaux droits, nouveaux usages</w:t>
      </w:r>
      <w:r w:rsidR="00155293" w:rsidRPr="004E64DB">
        <w:rPr>
          <w:rFonts w:ascii="Garamond" w:hAnsi="Garamond"/>
          <w:sz w:val="20"/>
          <w:szCs w:val="20"/>
        </w:rPr>
        <w:t xml:space="preserve">, Mare et Martin, 2017. </w:t>
      </w:r>
    </w:p>
    <w:p w14:paraId="4AAE3C62" w14:textId="290C8662" w:rsidR="00155293" w:rsidRPr="004E64DB" w:rsidRDefault="002F3C95" w:rsidP="004E64DB">
      <w:pPr>
        <w:spacing w:before="100" w:beforeAutospacing="1" w:after="100" w:afterAutospacing="1"/>
        <w:jc w:val="both"/>
        <w:rPr>
          <w:rFonts w:ascii="Garamond" w:hAnsi="Garamond"/>
          <w:sz w:val="20"/>
          <w:szCs w:val="20"/>
          <w:lang w:val="en-US"/>
        </w:rPr>
      </w:pPr>
      <w:r>
        <w:rPr>
          <w:rFonts w:ascii="Garamond" w:hAnsi="Garamond"/>
          <w:sz w:val="20"/>
          <w:szCs w:val="20"/>
          <w:lang w:val="en-US"/>
        </w:rPr>
        <w:t>4</w:t>
      </w:r>
      <w:r w:rsidR="005650BE">
        <w:rPr>
          <w:rFonts w:ascii="Garamond" w:hAnsi="Garamond"/>
          <w:sz w:val="20"/>
          <w:szCs w:val="20"/>
          <w:lang w:val="en-US"/>
        </w:rPr>
        <w:t>6</w:t>
      </w:r>
      <w:r w:rsidR="00155293" w:rsidRPr="004E64DB">
        <w:rPr>
          <w:rFonts w:ascii="Garamond" w:hAnsi="Garamond"/>
          <w:sz w:val="20"/>
          <w:szCs w:val="20"/>
          <w:lang w:val="en-US"/>
        </w:rPr>
        <w:t>.</w:t>
      </w:r>
      <w:r w:rsidR="00D63364" w:rsidRPr="004E64DB">
        <w:rPr>
          <w:rFonts w:ascii="Garamond" w:hAnsi="Garamond"/>
          <w:sz w:val="20"/>
          <w:szCs w:val="20"/>
          <w:lang w:val="en-US"/>
        </w:rPr>
        <w:t xml:space="preserve"> </w:t>
      </w:r>
      <w:r w:rsidR="00155293" w:rsidRPr="004E64DB">
        <w:rPr>
          <w:rFonts w:ascii="Garamond" w:hAnsi="Garamond"/>
          <w:sz w:val="20"/>
          <w:szCs w:val="20"/>
          <w:lang w:val="en-US"/>
        </w:rPr>
        <w:t xml:space="preserve">« Sharks Need Protection and Surfers Want </w:t>
      </w:r>
      <w:proofErr w:type="gramStart"/>
      <w:r w:rsidR="00155293" w:rsidRPr="004E64DB">
        <w:rPr>
          <w:rFonts w:ascii="Garamond" w:hAnsi="Garamond"/>
          <w:sz w:val="20"/>
          <w:szCs w:val="20"/>
          <w:lang w:val="en-US"/>
        </w:rPr>
        <w:t>Security :</w:t>
      </w:r>
      <w:proofErr w:type="gramEnd"/>
      <w:r w:rsidR="00155293" w:rsidRPr="004E64DB">
        <w:rPr>
          <w:rFonts w:ascii="Garamond" w:hAnsi="Garamond"/>
          <w:sz w:val="20"/>
          <w:szCs w:val="20"/>
          <w:lang w:val="en-US"/>
        </w:rPr>
        <w:t xml:space="preserve"> La </w:t>
      </w:r>
      <w:proofErr w:type="spellStart"/>
      <w:r w:rsidR="00155293" w:rsidRPr="004E64DB">
        <w:rPr>
          <w:rFonts w:ascii="Garamond" w:hAnsi="Garamond"/>
          <w:sz w:val="20"/>
          <w:szCs w:val="20"/>
          <w:lang w:val="en-US"/>
        </w:rPr>
        <w:t>Réunion’s</w:t>
      </w:r>
      <w:proofErr w:type="spellEnd"/>
      <w:r w:rsidR="00155293" w:rsidRPr="004E64DB">
        <w:rPr>
          <w:rFonts w:ascii="Garamond" w:hAnsi="Garamond"/>
          <w:sz w:val="20"/>
          <w:szCs w:val="20"/>
          <w:lang w:val="en-US"/>
        </w:rPr>
        <w:t xml:space="preserve"> Shark Control Program into the International Legal Framework », </w:t>
      </w:r>
      <w:r w:rsidR="00155293" w:rsidRPr="004E64DB">
        <w:rPr>
          <w:rFonts w:ascii="Garamond" w:hAnsi="Garamond"/>
          <w:i/>
          <w:iCs/>
          <w:sz w:val="20"/>
          <w:szCs w:val="20"/>
          <w:lang w:val="en-US"/>
        </w:rPr>
        <w:t>Journal of Territorial and Maritime Studies</w:t>
      </w:r>
      <w:r w:rsidR="00155293" w:rsidRPr="004E64DB">
        <w:rPr>
          <w:rFonts w:ascii="Garamond" w:hAnsi="Garamond"/>
          <w:sz w:val="20"/>
          <w:szCs w:val="20"/>
          <w:lang w:val="en-US"/>
        </w:rPr>
        <w:t xml:space="preserve">, 2017, vol. 4, n°1, pp. 5- 30. </w:t>
      </w:r>
    </w:p>
    <w:p w14:paraId="194F6ACC" w14:textId="0AAD1891" w:rsidR="00155293" w:rsidRPr="004E64DB" w:rsidRDefault="002F3C95" w:rsidP="004E64DB">
      <w:pPr>
        <w:spacing w:before="100" w:beforeAutospacing="1" w:after="100" w:afterAutospacing="1"/>
        <w:jc w:val="both"/>
        <w:rPr>
          <w:rFonts w:ascii="Garamond" w:hAnsi="Garamond"/>
          <w:sz w:val="20"/>
          <w:szCs w:val="20"/>
          <w:lang w:val="en-US"/>
        </w:rPr>
      </w:pPr>
      <w:r>
        <w:rPr>
          <w:rFonts w:ascii="Garamond" w:hAnsi="Garamond"/>
          <w:sz w:val="20"/>
          <w:szCs w:val="20"/>
          <w:lang w:val="en-US"/>
        </w:rPr>
        <w:t>4</w:t>
      </w:r>
      <w:r w:rsidR="005650BE">
        <w:rPr>
          <w:rFonts w:ascii="Garamond" w:hAnsi="Garamond"/>
          <w:sz w:val="20"/>
          <w:szCs w:val="20"/>
          <w:lang w:val="en-US"/>
        </w:rPr>
        <w:t>5</w:t>
      </w:r>
      <w:r w:rsidR="00155293" w:rsidRPr="004E64DB">
        <w:rPr>
          <w:rFonts w:ascii="Garamond" w:hAnsi="Garamond"/>
          <w:sz w:val="20"/>
          <w:szCs w:val="20"/>
          <w:lang w:val="en-US"/>
        </w:rPr>
        <w:t>.</w:t>
      </w:r>
      <w:r w:rsidR="00D63364" w:rsidRPr="004E64DB">
        <w:rPr>
          <w:rFonts w:ascii="Garamond" w:hAnsi="Garamond"/>
          <w:sz w:val="20"/>
          <w:szCs w:val="20"/>
          <w:lang w:val="en-US"/>
        </w:rPr>
        <w:t xml:space="preserve"> </w:t>
      </w:r>
      <w:r w:rsidR="00155293" w:rsidRPr="004E64DB">
        <w:rPr>
          <w:rFonts w:ascii="Garamond" w:hAnsi="Garamond"/>
          <w:sz w:val="20"/>
          <w:szCs w:val="20"/>
          <w:lang w:val="en-US"/>
        </w:rPr>
        <w:t xml:space="preserve">Chapter XIX, « Goal </w:t>
      </w:r>
      <w:proofErr w:type="gramStart"/>
      <w:r w:rsidR="00155293" w:rsidRPr="004E64DB">
        <w:rPr>
          <w:rFonts w:ascii="Garamond" w:hAnsi="Garamond"/>
          <w:sz w:val="20"/>
          <w:szCs w:val="20"/>
          <w:lang w:val="en-US"/>
        </w:rPr>
        <w:t>16 :</w:t>
      </w:r>
      <w:proofErr w:type="gramEnd"/>
      <w:r w:rsidR="00155293" w:rsidRPr="004E64DB">
        <w:rPr>
          <w:rFonts w:ascii="Garamond" w:hAnsi="Garamond"/>
          <w:sz w:val="20"/>
          <w:szCs w:val="20"/>
          <w:lang w:val="en-US"/>
        </w:rPr>
        <w:t xml:space="preserve"> Peace, Justice and Strong Institutions. Promote just, peaceful, and inclusive societies », 20 p </w:t>
      </w:r>
      <w:r w:rsidR="00155293" w:rsidRPr="004E64DB">
        <w:rPr>
          <w:rFonts w:ascii="Garamond" w:hAnsi="Garamond"/>
          <w:i/>
          <w:iCs/>
          <w:sz w:val="20"/>
          <w:szCs w:val="20"/>
          <w:lang w:val="en-US"/>
        </w:rPr>
        <w:t xml:space="preserve">in </w:t>
      </w:r>
      <w:r w:rsidR="00155293" w:rsidRPr="004E64DB">
        <w:rPr>
          <w:rFonts w:ascii="Garamond" w:hAnsi="Garamond"/>
          <w:sz w:val="20"/>
          <w:szCs w:val="20"/>
          <w:lang w:val="en-US"/>
        </w:rPr>
        <w:t xml:space="preserve">P. Duran y </w:t>
      </w:r>
      <w:proofErr w:type="spellStart"/>
      <w:r w:rsidR="00155293" w:rsidRPr="004E64DB">
        <w:rPr>
          <w:rFonts w:ascii="Garamond" w:hAnsi="Garamond"/>
          <w:sz w:val="20"/>
          <w:szCs w:val="20"/>
          <w:lang w:val="en-US"/>
        </w:rPr>
        <w:t>Lalaguna</w:t>
      </w:r>
      <w:proofErr w:type="spellEnd"/>
      <w:r w:rsidR="00155293" w:rsidRPr="004E64DB">
        <w:rPr>
          <w:rFonts w:ascii="Garamond" w:hAnsi="Garamond"/>
          <w:sz w:val="20"/>
          <w:szCs w:val="20"/>
          <w:lang w:val="en-US"/>
        </w:rPr>
        <w:t xml:space="preserve">, C.M. Diaz </w:t>
      </w:r>
      <w:proofErr w:type="spellStart"/>
      <w:r w:rsidR="00155293" w:rsidRPr="004E64DB">
        <w:rPr>
          <w:rFonts w:ascii="Garamond" w:hAnsi="Garamond"/>
          <w:sz w:val="20"/>
          <w:szCs w:val="20"/>
          <w:lang w:val="en-US"/>
        </w:rPr>
        <w:t>Barrado</w:t>
      </w:r>
      <w:proofErr w:type="spellEnd"/>
      <w:r w:rsidR="00155293" w:rsidRPr="004E64DB">
        <w:rPr>
          <w:rFonts w:ascii="Garamond" w:hAnsi="Garamond"/>
          <w:sz w:val="20"/>
          <w:szCs w:val="20"/>
          <w:lang w:val="en-US"/>
        </w:rPr>
        <w:t xml:space="preserve"> et C. R. Fernandez </w:t>
      </w:r>
      <w:proofErr w:type="spellStart"/>
      <w:r w:rsidR="00155293" w:rsidRPr="004E64DB">
        <w:rPr>
          <w:rFonts w:ascii="Garamond" w:hAnsi="Garamond"/>
          <w:sz w:val="20"/>
          <w:szCs w:val="20"/>
          <w:lang w:val="en-US"/>
        </w:rPr>
        <w:t>Liesa</w:t>
      </w:r>
      <w:proofErr w:type="spellEnd"/>
      <w:r w:rsidR="00155293" w:rsidRPr="004E64DB">
        <w:rPr>
          <w:rFonts w:ascii="Garamond" w:hAnsi="Garamond"/>
          <w:sz w:val="20"/>
          <w:szCs w:val="20"/>
          <w:lang w:val="en-US"/>
        </w:rPr>
        <w:t xml:space="preserve"> (eds.), </w:t>
      </w:r>
      <w:r w:rsidR="00155293" w:rsidRPr="004E64DB">
        <w:rPr>
          <w:rFonts w:ascii="Garamond" w:hAnsi="Garamond"/>
          <w:i/>
          <w:iCs/>
          <w:sz w:val="20"/>
          <w:szCs w:val="20"/>
          <w:lang w:val="en-US"/>
        </w:rPr>
        <w:t>International Society and the Sustainable Development Goals</w:t>
      </w:r>
      <w:r w:rsidR="00155293" w:rsidRPr="004E64DB">
        <w:rPr>
          <w:rFonts w:ascii="Garamond" w:hAnsi="Garamond"/>
          <w:sz w:val="20"/>
          <w:szCs w:val="20"/>
          <w:lang w:val="en-US"/>
        </w:rPr>
        <w:t xml:space="preserve">, Thomson Reuters, 2016, pp. 523-546. </w:t>
      </w:r>
    </w:p>
    <w:p w14:paraId="16C0DCDE" w14:textId="7572A442" w:rsidR="00155293" w:rsidRPr="004E64DB" w:rsidRDefault="002F3C95" w:rsidP="004E64DB">
      <w:pPr>
        <w:spacing w:before="100" w:beforeAutospacing="1" w:after="100" w:afterAutospacing="1"/>
        <w:jc w:val="both"/>
        <w:rPr>
          <w:rFonts w:ascii="Garamond" w:hAnsi="Garamond"/>
          <w:sz w:val="20"/>
          <w:szCs w:val="20"/>
        </w:rPr>
      </w:pPr>
      <w:r>
        <w:rPr>
          <w:rFonts w:ascii="Garamond" w:hAnsi="Garamond"/>
          <w:sz w:val="20"/>
          <w:szCs w:val="20"/>
        </w:rPr>
        <w:t>4</w:t>
      </w:r>
      <w:r w:rsidR="005650BE">
        <w:rPr>
          <w:rFonts w:ascii="Garamond" w:hAnsi="Garamond"/>
          <w:sz w:val="20"/>
          <w:szCs w:val="20"/>
        </w:rPr>
        <w:t>4</w:t>
      </w:r>
      <w:r w:rsidR="00155293" w:rsidRPr="004E64DB">
        <w:rPr>
          <w:rFonts w:ascii="Garamond" w:hAnsi="Garamond"/>
          <w:sz w:val="20"/>
          <w:szCs w:val="20"/>
        </w:rPr>
        <w:t xml:space="preserve">. « La religion et les mouvements </w:t>
      </w:r>
      <w:proofErr w:type="spellStart"/>
      <w:r w:rsidR="00155293" w:rsidRPr="004E64DB">
        <w:rPr>
          <w:rFonts w:ascii="Garamond" w:hAnsi="Garamond"/>
          <w:sz w:val="20"/>
          <w:szCs w:val="20"/>
        </w:rPr>
        <w:t>sécessionistes</w:t>
      </w:r>
      <w:proofErr w:type="spellEnd"/>
      <w:r w:rsidR="00155293" w:rsidRPr="004E64DB">
        <w:rPr>
          <w:rFonts w:ascii="Garamond" w:hAnsi="Garamond"/>
          <w:sz w:val="20"/>
          <w:szCs w:val="20"/>
        </w:rPr>
        <w:t xml:space="preserve"> », pp. 235-246, </w:t>
      </w:r>
      <w:r w:rsidR="00155293" w:rsidRPr="004E64DB">
        <w:rPr>
          <w:rFonts w:ascii="Garamond" w:hAnsi="Garamond"/>
          <w:i/>
          <w:iCs/>
          <w:sz w:val="20"/>
          <w:szCs w:val="20"/>
        </w:rPr>
        <w:t xml:space="preserve">in </w:t>
      </w:r>
      <w:r w:rsidR="00155293" w:rsidRPr="004E64DB">
        <w:rPr>
          <w:rFonts w:ascii="Garamond" w:hAnsi="Garamond"/>
          <w:sz w:val="20"/>
          <w:szCs w:val="20"/>
        </w:rPr>
        <w:t xml:space="preserve">G. Giraudeau, C. </w:t>
      </w:r>
      <w:proofErr w:type="spellStart"/>
      <w:r w:rsidR="00155293" w:rsidRPr="004E64DB">
        <w:rPr>
          <w:rFonts w:ascii="Garamond" w:hAnsi="Garamond"/>
          <w:sz w:val="20"/>
          <w:szCs w:val="20"/>
        </w:rPr>
        <w:t>Bargues</w:t>
      </w:r>
      <w:proofErr w:type="spellEnd"/>
      <w:r w:rsidR="00155293" w:rsidRPr="004E64DB">
        <w:rPr>
          <w:rFonts w:ascii="Garamond" w:hAnsi="Garamond"/>
          <w:sz w:val="20"/>
          <w:szCs w:val="20"/>
        </w:rPr>
        <w:t xml:space="preserve"> et N. </w:t>
      </w:r>
      <w:proofErr w:type="spellStart"/>
      <w:r w:rsidR="00155293" w:rsidRPr="004E64DB">
        <w:rPr>
          <w:rFonts w:ascii="Garamond" w:hAnsi="Garamond"/>
          <w:sz w:val="20"/>
          <w:szCs w:val="20"/>
        </w:rPr>
        <w:t>Haupais</w:t>
      </w:r>
      <w:proofErr w:type="spellEnd"/>
      <w:r w:rsidR="00155293" w:rsidRPr="004E64DB">
        <w:rPr>
          <w:rFonts w:ascii="Garamond" w:hAnsi="Garamond"/>
          <w:sz w:val="20"/>
          <w:szCs w:val="20"/>
        </w:rPr>
        <w:t xml:space="preserve"> (</w:t>
      </w:r>
      <w:proofErr w:type="spellStart"/>
      <w:r w:rsidR="00155293" w:rsidRPr="004E64DB">
        <w:rPr>
          <w:rFonts w:ascii="Garamond" w:hAnsi="Garamond"/>
          <w:sz w:val="20"/>
          <w:szCs w:val="20"/>
        </w:rPr>
        <w:t>dir</w:t>
      </w:r>
      <w:proofErr w:type="spellEnd"/>
      <w:r w:rsidR="00155293" w:rsidRPr="004E64DB">
        <w:rPr>
          <w:rFonts w:ascii="Garamond" w:hAnsi="Garamond"/>
          <w:sz w:val="20"/>
          <w:szCs w:val="20"/>
        </w:rPr>
        <w:t xml:space="preserve">.), </w:t>
      </w:r>
      <w:r w:rsidR="00155293" w:rsidRPr="004E64DB">
        <w:rPr>
          <w:rFonts w:ascii="Garamond" w:hAnsi="Garamond"/>
          <w:i/>
          <w:iCs/>
          <w:sz w:val="20"/>
          <w:szCs w:val="20"/>
        </w:rPr>
        <w:t>Le fait religieux dans la construction de l’</w:t>
      </w:r>
      <w:proofErr w:type="spellStart"/>
      <w:r w:rsidR="00155293" w:rsidRPr="004E64DB">
        <w:rPr>
          <w:rFonts w:ascii="Garamond" w:hAnsi="Garamond"/>
          <w:i/>
          <w:iCs/>
          <w:sz w:val="20"/>
          <w:szCs w:val="20"/>
        </w:rPr>
        <w:t>Etat</w:t>
      </w:r>
      <w:proofErr w:type="spellEnd"/>
      <w:r w:rsidR="00155293" w:rsidRPr="004E64DB">
        <w:rPr>
          <w:rFonts w:ascii="Garamond" w:hAnsi="Garamond"/>
          <w:sz w:val="20"/>
          <w:szCs w:val="20"/>
        </w:rPr>
        <w:t>, Actes du colloque d’</w:t>
      </w:r>
      <w:proofErr w:type="spellStart"/>
      <w:r w:rsidR="00155293" w:rsidRPr="004E64DB">
        <w:rPr>
          <w:rFonts w:ascii="Garamond" w:hAnsi="Garamond"/>
          <w:sz w:val="20"/>
          <w:szCs w:val="20"/>
        </w:rPr>
        <w:t>Orléans</w:t>
      </w:r>
      <w:proofErr w:type="spellEnd"/>
      <w:r w:rsidR="00155293" w:rsidRPr="004E64DB">
        <w:rPr>
          <w:rFonts w:ascii="Garamond" w:hAnsi="Garamond"/>
          <w:sz w:val="20"/>
          <w:szCs w:val="20"/>
        </w:rPr>
        <w:t xml:space="preserve"> de juin 2014, Paris, </w:t>
      </w:r>
      <w:proofErr w:type="spellStart"/>
      <w:r w:rsidR="00155293" w:rsidRPr="004E64DB">
        <w:rPr>
          <w:rFonts w:ascii="Garamond" w:hAnsi="Garamond"/>
          <w:sz w:val="20"/>
          <w:szCs w:val="20"/>
        </w:rPr>
        <w:t>Pedone</w:t>
      </w:r>
      <w:proofErr w:type="spellEnd"/>
      <w:r w:rsidR="00155293" w:rsidRPr="004E64DB">
        <w:rPr>
          <w:rFonts w:ascii="Garamond" w:hAnsi="Garamond"/>
          <w:sz w:val="20"/>
          <w:szCs w:val="20"/>
        </w:rPr>
        <w:t xml:space="preserve">, 2016, 273 p. </w:t>
      </w:r>
    </w:p>
    <w:p w14:paraId="7FE5F26F" w14:textId="523A6146" w:rsidR="0061702A" w:rsidRPr="004E64DB" w:rsidRDefault="002F3C95" w:rsidP="004E64DB">
      <w:pPr>
        <w:spacing w:before="100" w:beforeAutospacing="1" w:after="100" w:afterAutospacing="1"/>
        <w:jc w:val="both"/>
        <w:rPr>
          <w:rFonts w:ascii="Garamond" w:hAnsi="Garamond"/>
          <w:sz w:val="20"/>
          <w:szCs w:val="20"/>
        </w:rPr>
      </w:pPr>
      <w:r>
        <w:rPr>
          <w:rFonts w:ascii="Garamond" w:hAnsi="Garamond"/>
          <w:sz w:val="20"/>
          <w:szCs w:val="20"/>
        </w:rPr>
        <w:t>4</w:t>
      </w:r>
      <w:r w:rsidR="005650BE">
        <w:rPr>
          <w:rFonts w:ascii="Garamond" w:hAnsi="Garamond"/>
          <w:sz w:val="20"/>
          <w:szCs w:val="20"/>
        </w:rPr>
        <w:t>3</w:t>
      </w:r>
      <w:r w:rsidR="0061702A" w:rsidRPr="004E64DB">
        <w:rPr>
          <w:rFonts w:ascii="Garamond" w:hAnsi="Garamond"/>
          <w:sz w:val="20"/>
          <w:szCs w:val="20"/>
        </w:rPr>
        <w:t>. « Saint-Pierre-et-Miquelon : de la guerre de la morue à la bataille de l’or noir »,</w:t>
      </w:r>
      <w:r w:rsidR="0061702A" w:rsidRPr="004E64DB">
        <w:rPr>
          <w:rFonts w:ascii="Garamond" w:hAnsi="Garamond"/>
          <w:i/>
          <w:iCs/>
          <w:sz w:val="20"/>
          <w:szCs w:val="20"/>
        </w:rPr>
        <w:t xml:space="preserve"> in </w:t>
      </w:r>
      <w:r w:rsidR="0061702A" w:rsidRPr="004E64DB">
        <w:rPr>
          <w:rFonts w:ascii="Garamond" w:hAnsi="Garamond"/>
          <w:sz w:val="20"/>
          <w:szCs w:val="20"/>
        </w:rPr>
        <w:t xml:space="preserve">S. </w:t>
      </w:r>
      <w:proofErr w:type="spellStart"/>
      <w:r w:rsidR="0061702A" w:rsidRPr="004E64DB">
        <w:rPr>
          <w:rFonts w:ascii="Garamond" w:hAnsi="Garamond"/>
          <w:sz w:val="20"/>
          <w:szCs w:val="20"/>
        </w:rPr>
        <w:t>Cassella</w:t>
      </w:r>
      <w:proofErr w:type="spellEnd"/>
      <w:r w:rsidR="0061702A" w:rsidRPr="004E64DB">
        <w:rPr>
          <w:rFonts w:ascii="Garamond" w:hAnsi="Garamond"/>
          <w:sz w:val="20"/>
          <w:szCs w:val="20"/>
        </w:rPr>
        <w:t xml:space="preserve"> et L. </w:t>
      </w:r>
      <w:proofErr w:type="spellStart"/>
      <w:r w:rsidR="0061702A" w:rsidRPr="004E64DB">
        <w:rPr>
          <w:rFonts w:ascii="Garamond" w:hAnsi="Garamond"/>
          <w:sz w:val="20"/>
          <w:szCs w:val="20"/>
        </w:rPr>
        <w:t>Delabie</w:t>
      </w:r>
      <w:proofErr w:type="spellEnd"/>
      <w:r w:rsidR="0061702A" w:rsidRPr="004E64DB">
        <w:rPr>
          <w:rFonts w:ascii="Garamond" w:hAnsi="Garamond"/>
          <w:sz w:val="20"/>
          <w:szCs w:val="20"/>
        </w:rPr>
        <w:t xml:space="preserve"> (</w:t>
      </w:r>
      <w:proofErr w:type="spellStart"/>
      <w:r w:rsidR="0061702A" w:rsidRPr="004E64DB">
        <w:rPr>
          <w:rFonts w:ascii="Garamond" w:hAnsi="Garamond"/>
          <w:sz w:val="20"/>
          <w:szCs w:val="20"/>
        </w:rPr>
        <w:t>dir</w:t>
      </w:r>
      <w:proofErr w:type="spellEnd"/>
      <w:r w:rsidR="0061702A" w:rsidRPr="004E64DB">
        <w:rPr>
          <w:rFonts w:ascii="Garamond" w:hAnsi="Garamond"/>
          <w:sz w:val="20"/>
          <w:szCs w:val="20"/>
        </w:rPr>
        <w:t xml:space="preserve">.), </w:t>
      </w:r>
      <w:r w:rsidR="00457902" w:rsidRPr="004E64DB">
        <w:rPr>
          <w:rFonts w:ascii="Garamond" w:hAnsi="Garamond"/>
          <w:i/>
          <w:iCs/>
          <w:sz w:val="20"/>
          <w:szCs w:val="20"/>
        </w:rPr>
        <w:t xml:space="preserve">Faut-il prendre le droit international au sérieux ? Liber </w:t>
      </w:r>
      <w:proofErr w:type="spellStart"/>
      <w:r w:rsidR="00457902" w:rsidRPr="004E64DB">
        <w:rPr>
          <w:rFonts w:ascii="Garamond" w:hAnsi="Garamond"/>
          <w:i/>
          <w:iCs/>
          <w:sz w:val="20"/>
          <w:szCs w:val="20"/>
        </w:rPr>
        <w:t>amicorum</w:t>
      </w:r>
      <w:proofErr w:type="spellEnd"/>
      <w:r w:rsidR="00457902" w:rsidRPr="004E64DB">
        <w:rPr>
          <w:rFonts w:ascii="Garamond" w:hAnsi="Garamond"/>
          <w:i/>
          <w:iCs/>
          <w:sz w:val="20"/>
          <w:szCs w:val="20"/>
        </w:rPr>
        <w:t xml:space="preserve"> en l’honneur du Professeur Pierre Michel </w:t>
      </w:r>
      <w:proofErr w:type="spellStart"/>
      <w:r w:rsidR="00457902" w:rsidRPr="004E64DB">
        <w:rPr>
          <w:rFonts w:ascii="Garamond" w:hAnsi="Garamond"/>
          <w:i/>
          <w:iCs/>
          <w:sz w:val="20"/>
          <w:szCs w:val="20"/>
        </w:rPr>
        <w:t>Eisemann</w:t>
      </w:r>
      <w:proofErr w:type="spellEnd"/>
      <w:r w:rsidR="00457902" w:rsidRPr="004E64DB">
        <w:rPr>
          <w:rFonts w:ascii="Garamond" w:hAnsi="Garamond"/>
          <w:sz w:val="20"/>
          <w:szCs w:val="20"/>
        </w:rPr>
        <w:t xml:space="preserve">, </w:t>
      </w:r>
      <w:proofErr w:type="spellStart"/>
      <w:r w:rsidR="00457902" w:rsidRPr="004E64DB">
        <w:rPr>
          <w:rFonts w:ascii="Garamond" w:hAnsi="Garamond"/>
          <w:sz w:val="20"/>
          <w:szCs w:val="20"/>
        </w:rPr>
        <w:t>Pedone</w:t>
      </w:r>
      <w:proofErr w:type="spellEnd"/>
      <w:r w:rsidR="00457902" w:rsidRPr="004E64DB">
        <w:rPr>
          <w:rFonts w:ascii="Garamond" w:hAnsi="Garamond"/>
          <w:sz w:val="20"/>
          <w:szCs w:val="20"/>
        </w:rPr>
        <w:t>, 2016, pp. 121-144.</w:t>
      </w:r>
    </w:p>
    <w:p w14:paraId="33927899" w14:textId="7B20176D" w:rsidR="00155293" w:rsidRPr="004E64DB" w:rsidRDefault="002F3C95" w:rsidP="004E64DB">
      <w:pPr>
        <w:spacing w:before="100" w:beforeAutospacing="1" w:after="100" w:afterAutospacing="1"/>
        <w:jc w:val="both"/>
        <w:rPr>
          <w:rFonts w:ascii="Garamond" w:hAnsi="Garamond"/>
          <w:sz w:val="20"/>
          <w:szCs w:val="20"/>
        </w:rPr>
      </w:pPr>
      <w:r>
        <w:rPr>
          <w:rFonts w:ascii="Garamond" w:hAnsi="Garamond"/>
          <w:sz w:val="20"/>
          <w:szCs w:val="20"/>
        </w:rPr>
        <w:t>4</w:t>
      </w:r>
      <w:r w:rsidR="005650BE">
        <w:rPr>
          <w:rFonts w:ascii="Garamond" w:hAnsi="Garamond"/>
          <w:sz w:val="20"/>
          <w:szCs w:val="20"/>
        </w:rPr>
        <w:t>2</w:t>
      </w:r>
      <w:r w:rsidR="00155293" w:rsidRPr="004E64DB">
        <w:rPr>
          <w:rFonts w:ascii="Garamond" w:hAnsi="Garamond"/>
          <w:sz w:val="20"/>
          <w:szCs w:val="20"/>
        </w:rPr>
        <w:t>.</w:t>
      </w:r>
      <w:r w:rsidR="00251912">
        <w:rPr>
          <w:rFonts w:ascii="Garamond" w:hAnsi="Garamond"/>
          <w:sz w:val="20"/>
          <w:szCs w:val="20"/>
        </w:rPr>
        <w:t xml:space="preserve"> </w:t>
      </w:r>
      <w:r w:rsidR="00155293" w:rsidRPr="004E64DB">
        <w:rPr>
          <w:rFonts w:ascii="Garamond" w:hAnsi="Garamond"/>
          <w:sz w:val="20"/>
          <w:szCs w:val="20"/>
        </w:rPr>
        <w:t xml:space="preserve">« A propos de l'affaire des </w:t>
      </w:r>
      <w:r w:rsidR="00155293" w:rsidRPr="004E64DB">
        <w:rPr>
          <w:rFonts w:ascii="Garamond" w:hAnsi="Garamond"/>
          <w:i/>
          <w:iCs/>
          <w:sz w:val="20"/>
          <w:szCs w:val="20"/>
        </w:rPr>
        <w:t xml:space="preserve">Questions concernant la saisie et la </w:t>
      </w:r>
      <w:proofErr w:type="spellStart"/>
      <w:r w:rsidR="00155293" w:rsidRPr="004E64DB">
        <w:rPr>
          <w:rFonts w:ascii="Garamond" w:hAnsi="Garamond"/>
          <w:i/>
          <w:iCs/>
          <w:sz w:val="20"/>
          <w:szCs w:val="20"/>
        </w:rPr>
        <w:t>détention</w:t>
      </w:r>
      <w:proofErr w:type="spellEnd"/>
      <w:r w:rsidR="00155293" w:rsidRPr="004E64DB">
        <w:rPr>
          <w:rFonts w:ascii="Garamond" w:hAnsi="Garamond"/>
          <w:i/>
          <w:iCs/>
          <w:sz w:val="20"/>
          <w:szCs w:val="20"/>
        </w:rPr>
        <w:t xml:space="preserve"> de certains documents et </w:t>
      </w:r>
      <w:proofErr w:type="spellStart"/>
      <w:r w:rsidR="00155293" w:rsidRPr="004E64DB">
        <w:rPr>
          <w:rFonts w:ascii="Garamond" w:hAnsi="Garamond"/>
          <w:i/>
          <w:iCs/>
          <w:sz w:val="20"/>
          <w:szCs w:val="20"/>
        </w:rPr>
        <w:t>données</w:t>
      </w:r>
      <w:proofErr w:type="spellEnd"/>
      <w:r w:rsidR="00155293" w:rsidRPr="004E64DB">
        <w:rPr>
          <w:rFonts w:ascii="Garamond" w:hAnsi="Garamond"/>
          <w:i/>
          <w:iCs/>
          <w:sz w:val="20"/>
          <w:szCs w:val="20"/>
        </w:rPr>
        <w:t xml:space="preserve"> (Timor- Leste c. Australie) </w:t>
      </w:r>
      <w:r w:rsidR="00155293" w:rsidRPr="004E64DB">
        <w:rPr>
          <w:rFonts w:ascii="Garamond" w:hAnsi="Garamond"/>
          <w:sz w:val="20"/>
          <w:szCs w:val="20"/>
        </w:rPr>
        <w:t xml:space="preserve">: quand la Cour internationale de Justice agit en garantie des droits </w:t>
      </w:r>
      <w:proofErr w:type="spellStart"/>
      <w:r w:rsidR="00155293" w:rsidRPr="004E64DB">
        <w:rPr>
          <w:rFonts w:ascii="Garamond" w:hAnsi="Garamond"/>
          <w:sz w:val="20"/>
          <w:szCs w:val="20"/>
        </w:rPr>
        <w:t>étatiques</w:t>
      </w:r>
      <w:proofErr w:type="spellEnd"/>
      <w:r w:rsidR="00155293" w:rsidRPr="004E64DB">
        <w:rPr>
          <w:rFonts w:ascii="Garamond" w:hAnsi="Garamond"/>
          <w:sz w:val="20"/>
          <w:szCs w:val="20"/>
        </w:rPr>
        <w:t xml:space="preserve"> relatifs </w:t>
      </w:r>
      <w:proofErr w:type="spellStart"/>
      <w:r w:rsidR="00155293" w:rsidRPr="004E64DB">
        <w:rPr>
          <w:rFonts w:ascii="Garamond" w:hAnsi="Garamond"/>
          <w:sz w:val="20"/>
          <w:szCs w:val="20"/>
        </w:rPr>
        <w:t>a</w:t>
      </w:r>
      <w:proofErr w:type="spellEnd"/>
      <w:r w:rsidR="00155293" w:rsidRPr="004E64DB">
        <w:rPr>
          <w:rFonts w:ascii="Garamond" w:hAnsi="Garamond"/>
          <w:sz w:val="20"/>
          <w:szCs w:val="20"/>
        </w:rPr>
        <w:t xml:space="preserve">̀ une autre </w:t>
      </w:r>
      <w:proofErr w:type="spellStart"/>
      <w:r w:rsidR="00155293" w:rsidRPr="004E64DB">
        <w:rPr>
          <w:rFonts w:ascii="Garamond" w:hAnsi="Garamond"/>
          <w:sz w:val="20"/>
          <w:szCs w:val="20"/>
        </w:rPr>
        <w:t>procédure</w:t>
      </w:r>
      <w:proofErr w:type="spellEnd"/>
      <w:r w:rsidR="00155293" w:rsidRPr="004E64DB">
        <w:rPr>
          <w:rFonts w:ascii="Garamond" w:hAnsi="Garamond"/>
          <w:sz w:val="20"/>
          <w:szCs w:val="20"/>
        </w:rPr>
        <w:t xml:space="preserve"> juridictionnelle, </w:t>
      </w:r>
      <w:r w:rsidR="00155293" w:rsidRPr="004E64DB">
        <w:rPr>
          <w:rFonts w:ascii="Garamond" w:hAnsi="Garamond"/>
          <w:i/>
          <w:iCs/>
          <w:sz w:val="20"/>
          <w:szCs w:val="20"/>
        </w:rPr>
        <w:t xml:space="preserve">Annuaire </w:t>
      </w:r>
      <w:proofErr w:type="spellStart"/>
      <w:r w:rsidR="00155293" w:rsidRPr="004E64DB">
        <w:rPr>
          <w:rFonts w:ascii="Garamond" w:hAnsi="Garamond"/>
          <w:i/>
          <w:iCs/>
          <w:sz w:val="20"/>
          <w:szCs w:val="20"/>
        </w:rPr>
        <w:t>Franc</w:t>
      </w:r>
      <w:r w:rsidR="00155293" w:rsidRPr="004E64DB">
        <w:rPr>
          <w:i/>
          <w:iCs/>
          <w:sz w:val="20"/>
          <w:szCs w:val="20"/>
        </w:rPr>
        <w:t>̧</w:t>
      </w:r>
      <w:r w:rsidR="00155293" w:rsidRPr="004E64DB">
        <w:rPr>
          <w:rFonts w:ascii="Garamond" w:hAnsi="Garamond"/>
          <w:i/>
          <w:iCs/>
          <w:sz w:val="20"/>
          <w:szCs w:val="20"/>
        </w:rPr>
        <w:t>ais</w:t>
      </w:r>
      <w:proofErr w:type="spellEnd"/>
      <w:r w:rsidR="00155293" w:rsidRPr="004E64DB">
        <w:rPr>
          <w:rFonts w:ascii="Garamond" w:hAnsi="Garamond"/>
          <w:i/>
          <w:iCs/>
          <w:sz w:val="20"/>
          <w:szCs w:val="20"/>
        </w:rPr>
        <w:t xml:space="preserve"> du Droit International </w:t>
      </w:r>
      <w:r w:rsidR="00155293" w:rsidRPr="004E64DB">
        <w:rPr>
          <w:rFonts w:ascii="Garamond" w:hAnsi="Garamond"/>
          <w:sz w:val="20"/>
          <w:szCs w:val="20"/>
        </w:rPr>
        <w:t xml:space="preserve">2015, pp. 239-266. </w:t>
      </w:r>
    </w:p>
    <w:p w14:paraId="15294B31" w14:textId="37B12A39" w:rsidR="00155293" w:rsidRPr="004E64DB" w:rsidRDefault="005650BE" w:rsidP="004E64DB">
      <w:pPr>
        <w:spacing w:before="100" w:beforeAutospacing="1" w:after="100" w:afterAutospacing="1"/>
        <w:jc w:val="both"/>
        <w:rPr>
          <w:rFonts w:ascii="Garamond" w:hAnsi="Garamond"/>
          <w:sz w:val="20"/>
          <w:szCs w:val="20"/>
        </w:rPr>
      </w:pPr>
      <w:r>
        <w:rPr>
          <w:rFonts w:ascii="Garamond" w:hAnsi="Garamond"/>
          <w:sz w:val="20"/>
          <w:szCs w:val="20"/>
        </w:rPr>
        <w:t>41</w:t>
      </w:r>
      <w:r w:rsidR="00155293" w:rsidRPr="004E64DB">
        <w:rPr>
          <w:rFonts w:ascii="Garamond" w:hAnsi="Garamond"/>
          <w:sz w:val="20"/>
          <w:szCs w:val="20"/>
        </w:rPr>
        <w:t xml:space="preserve">.« Les motifs non juridiques dans le contentieux territorial », pp. 81-96, </w:t>
      </w:r>
      <w:r w:rsidR="00155293" w:rsidRPr="004E64DB">
        <w:rPr>
          <w:rFonts w:ascii="Garamond" w:hAnsi="Garamond"/>
          <w:i/>
          <w:iCs/>
          <w:sz w:val="20"/>
          <w:szCs w:val="20"/>
        </w:rPr>
        <w:t xml:space="preserve">in </w:t>
      </w:r>
      <w:r w:rsidR="00155293" w:rsidRPr="004E64DB">
        <w:rPr>
          <w:rFonts w:ascii="Garamond" w:hAnsi="Garamond"/>
          <w:sz w:val="20"/>
          <w:szCs w:val="20"/>
        </w:rPr>
        <w:t xml:space="preserve">F. </w:t>
      </w:r>
      <w:proofErr w:type="spellStart"/>
      <w:r w:rsidR="00155293" w:rsidRPr="004E64DB">
        <w:rPr>
          <w:rFonts w:ascii="Garamond" w:hAnsi="Garamond"/>
          <w:sz w:val="20"/>
          <w:szCs w:val="20"/>
        </w:rPr>
        <w:t>Couveinhes</w:t>
      </w:r>
      <w:proofErr w:type="spellEnd"/>
      <w:r w:rsidR="00155293" w:rsidRPr="004E64DB">
        <w:rPr>
          <w:rFonts w:ascii="Garamond" w:hAnsi="Garamond"/>
          <w:sz w:val="20"/>
          <w:szCs w:val="20"/>
        </w:rPr>
        <w:t xml:space="preserve"> Matsumoto et R. </w:t>
      </w:r>
      <w:proofErr w:type="spellStart"/>
      <w:r w:rsidR="00155293" w:rsidRPr="004E64DB">
        <w:rPr>
          <w:rFonts w:ascii="Garamond" w:hAnsi="Garamond"/>
          <w:sz w:val="20"/>
          <w:szCs w:val="20"/>
        </w:rPr>
        <w:t>Nollez</w:t>
      </w:r>
      <w:proofErr w:type="spellEnd"/>
      <w:r w:rsidR="00155293" w:rsidRPr="004E64DB">
        <w:rPr>
          <w:rFonts w:ascii="Garamond" w:hAnsi="Garamond"/>
          <w:sz w:val="20"/>
          <w:szCs w:val="20"/>
        </w:rPr>
        <w:t>-Goldbach (</w:t>
      </w:r>
      <w:proofErr w:type="spellStart"/>
      <w:r w:rsidR="00155293" w:rsidRPr="004E64DB">
        <w:rPr>
          <w:rFonts w:ascii="Garamond" w:hAnsi="Garamond"/>
          <w:sz w:val="20"/>
          <w:szCs w:val="20"/>
        </w:rPr>
        <w:t>dir</w:t>
      </w:r>
      <w:proofErr w:type="spellEnd"/>
      <w:r w:rsidR="00155293" w:rsidRPr="004E64DB">
        <w:rPr>
          <w:rFonts w:ascii="Garamond" w:hAnsi="Garamond"/>
          <w:sz w:val="20"/>
          <w:szCs w:val="20"/>
        </w:rPr>
        <w:t xml:space="preserve">.), </w:t>
      </w:r>
      <w:r w:rsidR="00155293" w:rsidRPr="004E64DB">
        <w:rPr>
          <w:rFonts w:ascii="Garamond" w:hAnsi="Garamond"/>
          <w:i/>
          <w:iCs/>
          <w:sz w:val="20"/>
          <w:szCs w:val="20"/>
        </w:rPr>
        <w:t>Les motifs non juridiques dans les jugements internationaux</w:t>
      </w:r>
      <w:r w:rsidR="00155293" w:rsidRPr="004E64DB">
        <w:rPr>
          <w:rFonts w:ascii="Garamond" w:hAnsi="Garamond"/>
          <w:sz w:val="20"/>
          <w:szCs w:val="20"/>
        </w:rPr>
        <w:t xml:space="preserve">, Actes du colloque ENS du 7 novembre 2014, Paris, </w:t>
      </w:r>
      <w:proofErr w:type="spellStart"/>
      <w:r w:rsidR="00155293" w:rsidRPr="004E64DB">
        <w:rPr>
          <w:rFonts w:ascii="Garamond" w:hAnsi="Garamond"/>
          <w:sz w:val="20"/>
          <w:szCs w:val="20"/>
        </w:rPr>
        <w:t>Pedone</w:t>
      </w:r>
      <w:proofErr w:type="spellEnd"/>
      <w:r w:rsidR="00155293" w:rsidRPr="004E64DB">
        <w:rPr>
          <w:rFonts w:ascii="Garamond" w:hAnsi="Garamond"/>
          <w:sz w:val="20"/>
          <w:szCs w:val="20"/>
        </w:rPr>
        <w:t xml:space="preserve">, 2016, 211 p. </w:t>
      </w:r>
    </w:p>
    <w:p w14:paraId="7E138630" w14:textId="07B7454B" w:rsidR="00155293" w:rsidRPr="004E64DB" w:rsidRDefault="005650BE" w:rsidP="004E64DB">
      <w:pPr>
        <w:spacing w:before="100" w:beforeAutospacing="1" w:after="100" w:afterAutospacing="1"/>
        <w:jc w:val="both"/>
        <w:rPr>
          <w:rFonts w:ascii="Garamond" w:hAnsi="Garamond"/>
          <w:sz w:val="20"/>
          <w:szCs w:val="20"/>
          <w:lang w:val="en-US"/>
        </w:rPr>
      </w:pPr>
      <w:r>
        <w:rPr>
          <w:rFonts w:ascii="Garamond" w:hAnsi="Garamond"/>
          <w:sz w:val="20"/>
          <w:szCs w:val="20"/>
          <w:lang w:val="en-US"/>
        </w:rPr>
        <w:t>40</w:t>
      </w:r>
      <w:r w:rsidR="00155293" w:rsidRPr="004E64DB">
        <w:rPr>
          <w:rFonts w:ascii="Garamond" w:hAnsi="Garamond"/>
          <w:sz w:val="20"/>
          <w:szCs w:val="20"/>
          <w:lang w:val="en-US"/>
        </w:rPr>
        <w:t xml:space="preserve">. </w:t>
      </w:r>
      <w:r w:rsidR="00DA1F8F" w:rsidRPr="004E64DB">
        <w:rPr>
          <w:rFonts w:ascii="Garamond" w:hAnsi="Garamond"/>
          <w:sz w:val="20"/>
          <w:szCs w:val="20"/>
          <w:lang w:val="en-US"/>
        </w:rPr>
        <w:t>« </w:t>
      </w:r>
      <w:r w:rsidR="00155293" w:rsidRPr="004E64DB">
        <w:rPr>
          <w:rFonts w:ascii="Garamond" w:hAnsi="Garamond"/>
          <w:sz w:val="20"/>
          <w:szCs w:val="20"/>
          <w:lang w:val="en-US"/>
        </w:rPr>
        <w:t xml:space="preserve">A Slight Revenge and a Growing Hope for Mauritius and the </w:t>
      </w:r>
      <w:proofErr w:type="spellStart"/>
      <w:r w:rsidR="00155293" w:rsidRPr="004E64DB">
        <w:rPr>
          <w:rFonts w:ascii="Garamond" w:hAnsi="Garamond"/>
          <w:sz w:val="20"/>
          <w:szCs w:val="20"/>
          <w:lang w:val="en-US"/>
        </w:rPr>
        <w:t>Chagossians</w:t>
      </w:r>
      <w:proofErr w:type="spellEnd"/>
      <w:r w:rsidR="00155293" w:rsidRPr="004E64DB">
        <w:rPr>
          <w:rFonts w:ascii="Garamond" w:hAnsi="Garamond"/>
          <w:sz w:val="20"/>
          <w:szCs w:val="20"/>
          <w:lang w:val="en-US"/>
        </w:rPr>
        <w:t xml:space="preserve">: The UNCLOS Arbitral Tribunal’s Award of 18 March 2015 on </w:t>
      </w:r>
      <w:proofErr w:type="spellStart"/>
      <w:r w:rsidR="00155293" w:rsidRPr="004E64DB">
        <w:rPr>
          <w:rFonts w:ascii="Garamond" w:hAnsi="Garamond"/>
          <w:sz w:val="20"/>
          <w:szCs w:val="20"/>
          <w:lang w:val="en-US"/>
        </w:rPr>
        <w:t>Chagos</w:t>
      </w:r>
      <w:proofErr w:type="spellEnd"/>
      <w:r w:rsidR="00155293" w:rsidRPr="004E64DB">
        <w:rPr>
          <w:rFonts w:ascii="Garamond" w:hAnsi="Garamond"/>
          <w:sz w:val="20"/>
          <w:szCs w:val="20"/>
          <w:lang w:val="en-US"/>
        </w:rPr>
        <w:t xml:space="preserve"> Marine Protected Area (Mauritius v. United Kingdom) », </w:t>
      </w:r>
      <w:r w:rsidR="00155293" w:rsidRPr="004E64DB">
        <w:rPr>
          <w:rFonts w:ascii="Garamond" w:hAnsi="Garamond"/>
          <w:i/>
          <w:iCs/>
          <w:sz w:val="20"/>
          <w:szCs w:val="20"/>
          <w:lang w:val="en-US"/>
        </w:rPr>
        <w:t>Brazilian Yearbook of International Law</w:t>
      </w:r>
      <w:r w:rsidR="00155293" w:rsidRPr="004E64DB">
        <w:rPr>
          <w:rFonts w:ascii="Garamond" w:hAnsi="Garamond"/>
          <w:sz w:val="20"/>
          <w:szCs w:val="20"/>
          <w:lang w:val="en-US"/>
        </w:rPr>
        <w:t xml:space="preserve">, vol. 12, n°2, 2015, pp. 705-727. </w:t>
      </w:r>
    </w:p>
    <w:p w14:paraId="4E0FE209" w14:textId="37E4A235" w:rsidR="00155293" w:rsidRPr="004E64DB" w:rsidRDefault="002F3C95" w:rsidP="004E64DB">
      <w:pPr>
        <w:spacing w:before="100" w:beforeAutospacing="1" w:after="100" w:afterAutospacing="1"/>
        <w:jc w:val="both"/>
        <w:rPr>
          <w:rFonts w:ascii="Garamond" w:hAnsi="Garamond"/>
          <w:sz w:val="20"/>
          <w:szCs w:val="20"/>
        </w:rPr>
      </w:pPr>
      <w:r>
        <w:rPr>
          <w:rFonts w:ascii="Garamond" w:hAnsi="Garamond"/>
          <w:sz w:val="20"/>
          <w:szCs w:val="20"/>
        </w:rPr>
        <w:lastRenderedPageBreak/>
        <w:t>3</w:t>
      </w:r>
      <w:r w:rsidR="005650BE">
        <w:rPr>
          <w:rFonts w:ascii="Garamond" w:hAnsi="Garamond"/>
          <w:sz w:val="20"/>
          <w:szCs w:val="20"/>
        </w:rPr>
        <w:t>9</w:t>
      </w:r>
      <w:r w:rsidR="00155293" w:rsidRPr="004E64DB">
        <w:rPr>
          <w:rFonts w:ascii="Garamond" w:hAnsi="Garamond"/>
          <w:sz w:val="20"/>
          <w:szCs w:val="20"/>
        </w:rPr>
        <w:t>.</w:t>
      </w:r>
      <w:r w:rsidR="00251912">
        <w:rPr>
          <w:rFonts w:ascii="Garamond" w:hAnsi="Garamond"/>
          <w:sz w:val="20"/>
          <w:szCs w:val="20"/>
        </w:rPr>
        <w:t xml:space="preserve"> </w:t>
      </w:r>
      <w:r w:rsidR="00155293" w:rsidRPr="004E64DB">
        <w:rPr>
          <w:rFonts w:ascii="Garamond" w:hAnsi="Garamond"/>
          <w:sz w:val="20"/>
          <w:szCs w:val="20"/>
        </w:rPr>
        <w:t xml:space="preserve">« L’articulation des institutions </w:t>
      </w:r>
      <w:proofErr w:type="spellStart"/>
      <w:r w:rsidR="00155293" w:rsidRPr="004E64DB">
        <w:rPr>
          <w:rFonts w:ascii="Garamond" w:hAnsi="Garamond"/>
          <w:sz w:val="20"/>
          <w:szCs w:val="20"/>
        </w:rPr>
        <w:t>financières</w:t>
      </w:r>
      <w:proofErr w:type="spellEnd"/>
      <w:r w:rsidR="00155293" w:rsidRPr="004E64DB">
        <w:rPr>
          <w:rFonts w:ascii="Garamond" w:hAnsi="Garamond"/>
          <w:sz w:val="20"/>
          <w:szCs w:val="20"/>
        </w:rPr>
        <w:t xml:space="preserve"> internationales et </w:t>
      </w:r>
      <w:proofErr w:type="spellStart"/>
      <w:r w:rsidR="00155293" w:rsidRPr="004E64DB">
        <w:rPr>
          <w:rFonts w:ascii="Garamond" w:hAnsi="Garamond"/>
          <w:sz w:val="20"/>
          <w:szCs w:val="20"/>
        </w:rPr>
        <w:t>européennes</w:t>
      </w:r>
      <w:proofErr w:type="spellEnd"/>
      <w:r w:rsidR="00155293" w:rsidRPr="004E64DB">
        <w:rPr>
          <w:rFonts w:ascii="Garamond" w:hAnsi="Garamond"/>
          <w:sz w:val="20"/>
          <w:szCs w:val="20"/>
        </w:rPr>
        <w:t xml:space="preserve"> », </w:t>
      </w:r>
      <w:r w:rsidR="00155293" w:rsidRPr="004E64DB">
        <w:rPr>
          <w:rFonts w:ascii="Garamond" w:hAnsi="Garamond"/>
          <w:i/>
          <w:iCs/>
          <w:sz w:val="20"/>
          <w:szCs w:val="20"/>
        </w:rPr>
        <w:t xml:space="preserve">in </w:t>
      </w:r>
      <w:r w:rsidR="00155293" w:rsidRPr="004E64DB">
        <w:rPr>
          <w:rFonts w:ascii="Garamond" w:hAnsi="Garamond"/>
          <w:sz w:val="20"/>
          <w:szCs w:val="20"/>
        </w:rPr>
        <w:t>G. Giraudeau (</w:t>
      </w:r>
      <w:proofErr w:type="spellStart"/>
      <w:r w:rsidR="00155293" w:rsidRPr="004E64DB">
        <w:rPr>
          <w:rFonts w:ascii="Garamond" w:hAnsi="Garamond"/>
          <w:sz w:val="20"/>
          <w:szCs w:val="20"/>
        </w:rPr>
        <w:t>dir</w:t>
      </w:r>
      <w:proofErr w:type="spellEnd"/>
      <w:r w:rsidR="00155293" w:rsidRPr="004E64DB">
        <w:rPr>
          <w:rFonts w:ascii="Garamond" w:hAnsi="Garamond"/>
          <w:sz w:val="20"/>
          <w:szCs w:val="20"/>
        </w:rPr>
        <w:t xml:space="preserve">.), </w:t>
      </w:r>
      <w:r w:rsidR="00155293" w:rsidRPr="004E64DB">
        <w:rPr>
          <w:rFonts w:ascii="Garamond" w:hAnsi="Garamond"/>
          <w:i/>
          <w:iCs/>
          <w:sz w:val="20"/>
          <w:szCs w:val="20"/>
        </w:rPr>
        <w:t xml:space="preserve">La </w:t>
      </w:r>
      <w:proofErr w:type="spellStart"/>
      <w:r w:rsidR="00155293" w:rsidRPr="004E64DB">
        <w:rPr>
          <w:rFonts w:ascii="Garamond" w:hAnsi="Garamond"/>
          <w:i/>
          <w:iCs/>
          <w:sz w:val="20"/>
          <w:szCs w:val="20"/>
        </w:rPr>
        <w:t>réforme</w:t>
      </w:r>
      <w:proofErr w:type="spellEnd"/>
      <w:r w:rsidR="00155293" w:rsidRPr="004E64DB">
        <w:rPr>
          <w:rFonts w:ascii="Garamond" w:hAnsi="Garamond"/>
          <w:i/>
          <w:iCs/>
          <w:sz w:val="20"/>
          <w:szCs w:val="20"/>
        </w:rPr>
        <w:t xml:space="preserve"> des institutions </w:t>
      </w:r>
      <w:proofErr w:type="spellStart"/>
      <w:r w:rsidR="00155293" w:rsidRPr="004E64DB">
        <w:rPr>
          <w:rFonts w:ascii="Garamond" w:hAnsi="Garamond"/>
          <w:i/>
          <w:iCs/>
          <w:sz w:val="20"/>
          <w:szCs w:val="20"/>
        </w:rPr>
        <w:t>économiques</w:t>
      </w:r>
      <w:proofErr w:type="spellEnd"/>
      <w:r w:rsidR="00155293" w:rsidRPr="004E64DB">
        <w:rPr>
          <w:rFonts w:ascii="Garamond" w:hAnsi="Garamond"/>
          <w:i/>
          <w:iCs/>
          <w:sz w:val="20"/>
          <w:szCs w:val="20"/>
        </w:rPr>
        <w:t xml:space="preserve"> internationales à la globalisation, </w:t>
      </w:r>
      <w:r w:rsidR="00155293" w:rsidRPr="004E64DB">
        <w:rPr>
          <w:rFonts w:ascii="Garamond" w:hAnsi="Garamond"/>
          <w:sz w:val="20"/>
          <w:szCs w:val="20"/>
        </w:rPr>
        <w:t xml:space="preserve">Paris, Mare et Martin, 2015, 202 p. </w:t>
      </w:r>
    </w:p>
    <w:p w14:paraId="525F6430" w14:textId="22FD5E20" w:rsidR="00155293" w:rsidRPr="004E64DB" w:rsidRDefault="002F3C95" w:rsidP="004E64DB">
      <w:pPr>
        <w:spacing w:before="100" w:beforeAutospacing="1" w:after="100" w:afterAutospacing="1"/>
        <w:jc w:val="both"/>
        <w:rPr>
          <w:rFonts w:ascii="Garamond" w:hAnsi="Garamond"/>
          <w:sz w:val="20"/>
          <w:szCs w:val="20"/>
        </w:rPr>
      </w:pPr>
      <w:r>
        <w:rPr>
          <w:rFonts w:ascii="Garamond" w:hAnsi="Garamond"/>
          <w:sz w:val="20"/>
          <w:szCs w:val="20"/>
        </w:rPr>
        <w:t>3</w:t>
      </w:r>
      <w:r w:rsidR="005650BE">
        <w:rPr>
          <w:rFonts w:ascii="Garamond" w:hAnsi="Garamond"/>
          <w:sz w:val="20"/>
          <w:szCs w:val="20"/>
        </w:rPr>
        <w:t>8</w:t>
      </w:r>
      <w:r w:rsidR="00155293" w:rsidRPr="004E64DB">
        <w:rPr>
          <w:rFonts w:ascii="Garamond" w:hAnsi="Garamond"/>
          <w:sz w:val="20"/>
          <w:szCs w:val="20"/>
        </w:rPr>
        <w:t>.</w:t>
      </w:r>
      <w:r w:rsidR="00251912">
        <w:rPr>
          <w:rFonts w:ascii="Garamond" w:hAnsi="Garamond"/>
          <w:sz w:val="20"/>
          <w:szCs w:val="20"/>
        </w:rPr>
        <w:t xml:space="preserve"> </w:t>
      </w:r>
      <w:r w:rsidR="00155293" w:rsidRPr="004E64DB">
        <w:rPr>
          <w:rFonts w:ascii="Garamond" w:hAnsi="Garamond"/>
          <w:sz w:val="20"/>
          <w:szCs w:val="20"/>
        </w:rPr>
        <w:t xml:space="preserve">« La remarquable </w:t>
      </w:r>
      <w:proofErr w:type="spellStart"/>
      <w:r w:rsidR="00155293" w:rsidRPr="004E64DB">
        <w:rPr>
          <w:rFonts w:ascii="Garamond" w:hAnsi="Garamond"/>
          <w:sz w:val="20"/>
          <w:szCs w:val="20"/>
        </w:rPr>
        <w:t>entrée</w:t>
      </w:r>
      <w:proofErr w:type="spellEnd"/>
      <w:r w:rsidR="00155293" w:rsidRPr="004E64DB">
        <w:rPr>
          <w:rFonts w:ascii="Garamond" w:hAnsi="Garamond"/>
          <w:sz w:val="20"/>
          <w:szCs w:val="20"/>
        </w:rPr>
        <w:t xml:space="preserve"> en </w:t>
      </w:r>
      <w:proofErr w:type="spellStart"/>
      <w:r w:rsidR="00155293" w:rsidRPr="004E64DB">
        <w:rPr>
          <w:rFonts w:ascii="Garamond" w:hAnsi="Garamond"/>
          <w:sz w:val="20"/>
          <w:szCs w:val="20"/>
        </w:rPr>
        <w:t>scène</w:t>
      </w:r>
      <w:proofErr w:type="spellEnd"/>
      <w:r w:rsidR="00155293" w:rsidRPr="004E64DB">
        <w:rPr>
          <w:rFonts w:ascii="Garamond" w:hAnsi="Garamond"/>
          <w:sz w:val="20"/>
          <w:szCs w:val="20"/>
        </w:rPr>
        <w:t xml:space="preserve"> du TIDM dans le contentieux de la </w:t>
      </w:r>
      <w:proofErr w:type="spellStart"/>
      <w:r w:rsidR="00155293" w:rsidRPr="004E64DB">
        <w:rPr>
          <w:rFonts w:ascii="Garamond" w:hAnsi="Garamond"/>
          <w:sz w:val="20"/>
          <w:szCs w:val="20"/>
        </w:rPr>
        <w:t>délimitation</w:t>
      </w:r>
      <w:proofErr w:type="spellEnd"/>
      <w:r w:rsidR="00155293" w:rsidRPr="004E64DB">
        <w:rPr>
          <w:rFonts w:ascii="Garamond" w:hAnsi="Garamond"/>
          <w:sz w:val="20"/>
          <w:szCs w:val="20"/>
        </w:rPr>
        <w:t xml:space="preserve"> maritime : l’</w:t>
      </w:r>
      <w:proofErr w:type="spellStart"/>
      <w:r w:rsidR="00155293" w:rsidRPr="004E64DB">
        <w:rPr>
          <w:rFonts w:ascii="Garamond" w:hAnsi="Garamond"/>
          <w:sz w:val="20"/>
          <w:szCs w:val="20"/>
        </w:rPr>
        <w:t>arrêt</w:t>
      </w:r>
      <w:proofErr w:type="spellEnd"/>
      <w:r w:rsidR="00155293" w:rsidRPr="004E64DB">
        <w:rPr>
          <w:rFonts w:ascii="Garamond" w:hAnsi="Garamond"/>
          <w:sz w:val="20"/>
          <w:szCs w:val="20"/>
        </w:rPr>
        <w:t xml:space="preserve"> du 14 mars 2012 relatif à l’affaire du golfe du Bengale », </w:t>
      </w:r>
      <w:r w:rsidR="00155293" w:rsidRPr="004E64DB">
        <w:rPr>
          <w:rFonts w:ascii="Garamond" w:hAnsi="Garamond"/>
          <w:i/>
          <w:iCs/>
          <w:sz w:val="20"/>
          <w:szCs w:val="20"/>
        </w:rPr>
        <w:t>Annuaire du droit de la mer</w:t>
      </w:r>
      <w:r w:rsidR="00155293" w:rsidRPr="004E64DB">
        <w:rPr>
          <w:rFonts w:ascii="Garamond" w:hAnsi="Garamond"/>
          <w:sz w:val="20"/>
          <w:szCs w:val="20"/>
        </w:rPr>
        <w:t xml:space="preserve">, 2012, tome 17, pp. 93-118. </w:t>
      </w:r>
    </w:p>
    <w:p w14:paraId="30935503" w14:textId="7606E5E6" w:rsidR="00155293" w:rsidRPr="004E64DB" w:rsidRDefault="002F3C95" w:rsidP="004E64DB">
      <w:pPr>
        <w:spacing w:before="100" w:beforeAutospacing="1" w:after="100" w:afterAutospacing="1"/>
        <w:jc w:val="both"/>
        <w:rPr>
          <w:rFonts w:ascii="Garamond" w:hAnsi="Garamond"/>
          <w:sz w:val="20"/>
          <w:szCs w:val="20"/>
        </w:rPr>
      </w:pPr>
      <w:r>
        <w:rPr>
          <w:rFonts w:ascii="Garamond" w:hAnsi="Garamond"/>
          <w:sz w:val="20"/>
          <w:szCs w:val="20"/>
        </w:rPr>
        <w:t>3</w:t>
      </w:r>
      <w:r w:rsidR="005650BE">
        <w:rPr>
          <w:rFonts w:ascii="Garamond" w:hAnsi="Garamond"/>
          <w:sz w:val="20"/>
          <w:szCs w:val="20"/>
        </w:rPr>
        <w:t>7</w:t>
      </w:r>
      <w:r w:rsidR="00155293" w:rsidRPr="004E64DB">
        <w:rPr>
          <w:rFonts w:ascii="Garamond" w:hAnsi="Garamond"/>
          <w:sz w:val="20"/>
          <w:szCs w:val="20"/>
        </w:rPr>
        <w:t>.</w:t>
      </w:r>
      <w:r w:rsidR="00251912">
        <w:rPr>
          <w:rFonts w:ascii="Garamond" w:hAnsi="Garamond"/>
          <w:sz w:val="20"/>
          <w:szCs w:val="20"/>
        </w:rPr>
        <w:t xml:space="preserve"> </w:t>
      </w:r>
      <w:r w:rsidR="00155293" w:rsidRPr="004E64DB">
        <w:rPr>
          <w:rFonts w:ascii="Garamond" w:hAnsi="Garamond"/>
          <w:sz w:val="20"/>
          <w:szCs w:val="20"/>
        </w:rPr>
        <w:t xml:space="preserve">« La sentence </w:t>
      </w:r>
      <w:proofErr w:type="spellStart"/>
      <w:r w:rsidR="00155293" w:rsidRPr="004E64DB">
        <w:rPr>
          <w:rFonts w:ascii="Garamond" w:hAnsi="Garamond"/>
          <w:sz w:val="20"/>
          <w:szCs w:val="20"/>
        </w:rPr>
        <w:t>Abyei</w:t>
      </w:r>
      <w:proofErr w:type="spellEnd"/>
      <w:r w:rsidR="00155293" w:rsidRPr="004E64DB">
        <w:rPr>
          <w:rFonts w:ascii="Garamond" w:hAnsi="Garamond"/>
          <w:sz w:val="20"/>
          <w:szCs w:val="20"/>
        </w:rPr>
        <w:t xml:space="preserve"> du 22 juillet 2009 (Gouvernement du Soudan / Mouvement/</w:t>
      </w:r>
      <w:proofErr w:type="spellStart"/>
      <w:r w:rsidR="00155293" w:rsidRPr="004E64DB">
        <w:rPr>
          <w:rFonts w:ascii="Garamond" w:hAnsi="Garamond"/>
          <w:sz w:val="20"/>
          <w:szCs w:val="20"/>
        </w:rPr>
        <w:t>Armée</w:t>
      </w:r>
      <w:proofErr w:type="spellEnd"/>
      <w:r w:rsidR="00155293" w:rsidRPr="004E64DB">
        <w:rPr>
          <w:rFonts w:ascii="Garamond" w:hAnsi="Garamond"/>
          <w:sz w:val="20"/>
          <w:szCs w:val="20"/>
        </w:rPr>
        <w:t xml:space="preserve"> populaire de </w:t>
      </w:r>
      <w:proofErr w:type="spellStart"/>
      <w:r w:rsidR="00155293" w:rsidRPr="004E64DB">
        <w:rPr>
          <w:rFonts w:ascii="Garamond" w:hAnsi="Garamond"/>
          <w:sz w:val="20"/>
          <w:szCs w:val="20"/>
        </w:rPr>
        <w:t>libération</w:t>
      </w:r>
      <w:proofErr w:type="spellEnd"/>
      <w:r w:rsidR="00155293" w:rsidRPr="004E64DB">
        <w:rPr>
          <w:rFonts w:ascii="Garamond" w:hAnsi="Garamond"/>
          <w:sz w:val="20"/>
          <w:szCs w:val="20"/>
        </w:rPr>
        <w:t xml:space="preserve"> du Soudan) », Table ronde du 22 octobre 2012 </w:t>
      </w:r>
      <w:proofErr w:type="spellStart"/>
      <w:r w:rsidR="00155293" w:rsidRPr="004E64DB">
        <w:rPr>
          <w:rFonts w:ascii="Garamond" w:hAnsi="Garamond"/>
          <w:sz w:val="20"/>
          <w:szCs w:val="20"/>
        </w:rPr>
        <w:t>organisée</w:t>
      </w:r>
      <w:proofErr w:type="spellEnd"/>
      <w:r w:rsidR="00155293" w:rsidRPr="004E64DB">
        <w:rPr>
          <w:rFonts w:ascii="Garamond" w:hAnsi="Garamond"/>
          <w:sz w:val="20"/>
          <w:szCs w:val="20"/>
        </w:rPr>
        <w:t xml:space="preserve"> par l’Association des internationalistes et l’IHEDN : « Partition et </w:t>
      </w:r>
      <w:proofErr w:type="spellStart"/>
      <w:r w:rsidR="00155293" w:rsidRPr="004E64DB">
        <w:rPr>
          <w:rFonts w:ascii="Garamond" w:hAnsi="Garamond"/>
          <w:sz w:val="20"/>
          <w:szCs w:val="20"/>
        </w:rPr>
        <w:t>répartition</w:t>
      </w:r>
      <w:proofErr w:type="spellEnd"/>
      <w:r w:rsidR="00155293" w:rsidRPr="004E64DB">
        <w:rPr>
          <w:rFonts w:ascii="Garamond" w:hAnsi="Garamond"/>
          <w:sz w:val="20"/>
          <w:szCs w:val="20"/>
        </w:rPr>
        <w:t xml:space="preserve"> des espaces : </w:t>
      </w:r>
      <w:proofErr w:type="spellStart"/>
      <w:r w:rsidR="00155293" w:rsidRPr="004E64DB">
        <w:rPr>
          <w:rFonts w:ascii="Garamond" w:hAnsi="Garamond"/>
          <w:sz w:val="20"/>
          <w:szCs w:val="20"/>
        </w:rPr>
        <w:t>actualite</w:t>
      </w:r>
      <w:proofErr w:type="spellEnd"/>
      <w:r w:rsidR="00155293" w:rsidRPr="004E64DB">
        <w:rPr>
          <w:rFonts w:ascii="Garamond" w:hAnsi="Garamond"/>
          <w:sz w:val="20"/>
          <w:szCs w:val="20"/>
        </w:rPr>
        <w:t>́ de l’Afrique (</w:t>
      </w:r>
      <w:proofErr w:type="spellStart"/>
      <w:r w:rsidR="00155293" w:rsidRPr="004E64DB">
        <w:rPr>
          <w:rFonts w:ascii="Garamond" w:hAnsi="Garamond"/>
          <w:sz w:val="20"/>
          <w:szCs w:val="20"/>
        </w:rPr>
        <w:t>SoudanCorne</w:t>
      </w:r>
      <w:proofErr w:type="spellEnd"/>
      <w:r w:rsidR="00155293" w:rsidRPr="004E64DB">
        <w:rPr>
          <w:rFonts w:ascii="Garamond" w:hAnsi="Garamond"/>
          <w:sz w:val="20"/>
          <w:szCs w:val="20"/>
        </w:rPr>
        <w:t xml:space="preserve"> de l’Afrique) ». Actes </w:t>
      </w:r>
      <w:proofErr w:type="spellStart"/>
      <w:r w:rsidR="00155293" w:rsidRPr="004E64DB">
        <w:rPr>
          <w:rFonts w:ascii="Garamond" w:hAnsi="Garamond"/>
          <w:sz w:val="20"/>
          <w:szCs w:val="20"/>
        </w:rPr>
        <w:t>publiés</w:t>
      </w:r>
      <w:proofErr w:type="spellEnd"/>
      <w:r w:rsidR="00155293" w:rsidRPr="004E64DB">
        <w:rPr>
          <w:rFonts w:ascii="Garamond" w:hAnsi="Garamond"/>
          <w:sz w:val="20"/>
          <w:szCs w:val="20"/>
        </w:rPr>
        <w:t xml:space="preserve"> dans la revue </w:t>
      </w:r>
      <w:r w:rsidR="00155293" w:rsidRPr="004E64DB">
        <w:rPr>
          <w:rFonts w:ascii="Garamond" w:hAnsi="Garamond"/>
          <w:i/>
          <w:iCs/>
          <w:sz w:val="20"/>
          <w:szCs w:val="20"/>
        </w:rPr>
        <w:t xml:space="preserve">Aquilon </w:t>
      </w:r>
      <w:r w:rsidR="00155293" w:rsidRPr="004E64DB">
        <w:rPr>
          <w:rFonts w:ascii="Garamond" w:hAnsi="Garamond"/>
          <w:sz w:val="20"/>
          <w:szCs w:val="20"/>
        </w:rPr>
        <w:t xml:space="preserve">n°9. </w:t>
      </w:r>
    </w:p>
    <w:p w14:paraId="1F312A2F" w14:textId="23CD5FB3" w:rsidR="00155293" w:rsidRPr="004E64DB" w:rsidRDefault="002F3C95" w:rsidP="004E64DB">
      <w:pPr>
        <w:spacing w:before="100" w:beforeAutospacing="1" w:after="100" w:afterAutospacing="1"/>
        <w:jc w:val="both"/>
        <w:rPr>
          <w:rFonts w:ascii="Garamond" w:hAnsi="Garamond"/>
          <w:sz w:val="20"/>
          <w:szCs w:val="20"/>
        </w:rPr>
      </w:pPr>
      <w:r>
        <w:rPr>
          <w:rFonts w:ascii="Garamond" w:hAnsi="Garamond"/>
          <w:sz w:val="20"/>
          <w:szCs w:val="20"/>
        </w:rPr>
        <w:t>3</w:t>
      </w:r>
      <w:r w:rsidR="005650BE">
        <w:rPr>
          <w:rFonts w:ascii="Garamond" w:hAnsi="Garamond"/>
          <w:sz w:val="20"/>
          <w:szCs w:val="20"/>
        </w:rPr>
        <w:t>6</w:t>
      </w:r>
      <w:r w:rsidR="00155293" w:rsidRPr="004E64DB">
        <w:rPr>
          <w:rFonts w:ascii="Garamond" w:hAnsi="Garamond"/>
          <w:sz w:val="20"/>
          <w:szCs w:val="20"/>
        </w:rPr>
        <w:t>.</w:t>
      </w:r>
      <w:r w:rsidR="00251912">
        <w:rPr>
          <w:rFonts w:ascii="Garamond" w:hAnsi="Garamond"/>
          <w:sz w:val="20"/>
          <w:szCs w:val="20"/>
        </w:rPr>
        <w:t xml:space="preserve"> </w:t>
      </w:r>
      <w:r w:rsidR="00155293" w:rsidRPr="004E64DB">
        <w:rPr>
          <w:rFonts w:ascii="Garamond" w:hAnsi="Garamond"/>
          <w:sz w:val="20"/>
          <w:szCs w:val="20"/>
        </w:rPr>
        <w:t xml:space="preserve">« La naissance du Soudan du Sud : la paix impossible ? », </w:t>
      </w:r>
      <w:r w:rsidR="00155293" w:rsidRPr="004E64DB">
        <w:rPr>
          <w:rFonts w:ascii="Garamond" w:hAnsi="Garamond"/>
          <w:i/>
          <w:iCs/>
          <w:sz w:val="20"/>
          <w:szCs w:val="20"/>
        </w:rPr>
        <w:t>A</w:t>
      </w:r>
      <w:r w:rsidR="00FA6607" w:rsidRPr="004E64DB">
        <w:rPr>
          <w:rFonts w:ascii="Garamond" w:hAnsi="Garamond"/>
          <w:i/>
          <w:iCs/>
          <w:sz w:val="20"/>
          <w:szCs w:val="20"/>
        </w:rPr>
        <w:t>nnuaire français de droit international</w:t>
      </w:r>
      <w:r w:rsidR="00155293" w:rsidRPr="004E64DB">
        <w:rPr>
          <w:rFonts w:ascii="Garamond" w:hAnsi="Garamond"/>
          <w:sz w:val="20"/>
          <w:szCs w:val="20"/>
        </w:rPr>
        <w:t xml:space="preserve">, 2012, pp. 61-82. </w:t>
      </w:r>
    </w:p>
    <w:p w14:paraId="3C2C1B9A" w14:textId="61B9B13F" w:rsidR="00155293" w:rsidRPr="004E64DB" w:rsidRDefault="002F3C95" w:rsidP="004E64DB">
      <w:pPr>
        <w:spacing w:before="100" w:beforeAutospacing="1" w:after="100" w:afterAutospacing="1"/>
        <w:jc w:val="both"/>
        <w:rPr>
          <w:rFonts w:ascii="Garamond" w:hAnsi="Garamond"/>
          <w:sz w:val="20"/>
          <w:szCs w:val="20"/>
        </w:rPr>
      </w:pPr>
      <w:r>
        <w:rPr>
          <w:rFonts w:ascii="Garamond" w:hAnsi="Garamond"/>
          <w:sz w:val="20"/>
          <w:szCs w:val="20"/>
        </w:rPr>
        <w:t>3</w:t>
      </w:r>
      <w:r w:rsidR="005650BE">
        <w:rPr>
          <w:rFonts w:ascii="Garamond" w:hAnsi="Garamond"/>
          <w:sz w:val="20"/>
          <w:szCs w:val="20"/>
        </w:rPr>
        <w:t>5.</w:t>
      </w:r>
      <w:r w:rsidR="00251912">
        <w:rPr>
          <w:rFonts w:ascii="Garamond" w:hAnsi="Garamond"/>
          <w:sz w:val="20"/>
          <w:szCs w:val="20"/>
        </w:rPr>
        <w:t xml:space="preserve"> </w:t>
      </w:r>
      <w:r w:rsidR="00155293" w:rsidRPr="004E64DB">
        <w:rPr>
          <w:rFonts w:ascii="Garamond" w:hAnsi="Garamond"/>
          <w:sz w:val="20"/>
          <w:szCs w:val="20"/>
        </w:rPr>
        <w:t xml:space="preserve">« Retour sur un classique − Antonio </w:t>
      </w:r>
      <w:proofErr w:type="spellStart"/>
      <w:r w:rsidR="00155293" w:rsidRPr="004E64DB">
        <w:rPr>
          <w:rFonts w:ascii="Garamond" w:hAnsi="Garamond"/>
          <w:sz w:val="20"/>
          <w:szCs w:val="20"/>
        </w:rPr>
        <w:t>Truyol</w:t>
      </w:r>
      <w:proofErr w:type="spellEnd"/>
      <w:r w:rsidR="00155293" w:rsidRPr="004E64DB">
        <w:rPr>
          <w:rFonts w:ascii="Garamond" w:hAnsi="Garamond"/>
          <w:sz w:val="20"/>
          <w:szCs w:val="20"/>
        </w:rPr>
        <w:t xml:space="preserve"> y Serra, </w:t>
      </w:r>
      <w:proofErr w:type="spellStart"/>
      <w:r w:rsidR="00155293" w:rsidRPr="004E64DB">
        <w:rPr>
          <w:rFonts w:ascii="Garamond" w:hAnsi="Garamond"/>
          <w:i/>
          <w:iCs/>
          <w:sz w:val="20"/>
          <w:szCs w:val="20"/>
        </w:rPr>
        <w:t>Genèse</w:t>
      </w:r>
      <w:proofErr w:type="spellEnd"/>
      <w:r w:rsidR="00155293" w:rsidRPr="004E64DB">
        <w:rPr>
          <w:rFonts w:ascii="Garamond" w:hAnsi="Garamond"/>
          <w:i/>
          <w:iCs/>
          <w:sz w:val="20"/>
          <w:szCs w:val="20"/>
        </w:rPr>
        <w:t xml:space="preserve"> et fondements de l’</w:t>
      </w:r>
      <w:proofErr w:type="spellStart"/>
      <w:r w:rsidR="00155293" w:rsidRPr="004E64DB">
        <w:rPr>
          <w:rFonts w:ascii="Garamond" w:hAnsi="Garamond"/>
          <w:i/>
          <w:iCs/>
          <w:sz w:val="20"/>
          <w:szCs w:val="20"/>
        </w:rPr>
        <w:t>idée</w:t>
      </w:r>
      <w:proofErr w:type="spellEnd"/>
      <w:r w:rsidR="00155293" w:rsidRPr="004E64DB">
        <w:rPr>
          <w:rFonts w:ascii="Garamond" w:hAnsi="Garamond"/>
          <w:i/>
          <w:iCs/>
          <w:sz w:val="20"/>
          <w:szCs w:val="20"/>
        </w:rPr>
        <w:t xml:space="preserve"> d’une </w:t>
      </w:r>
      <w:proofErr w:type="spellStart"/>
      <w:r w:rsidR="00155293" w:rsidRPr="004E64DB">
        <w:rPr>
          <w:rFonts w:ascii="Garamond" w:hAnsi="Garamond"/>
          <w:i/>
          <w:iCs/>
          <w:sz w:val="20"/>
          <w:szCs w:val="20"/>
        </w:rPr>
        <w:t>communaute</w:t>
      </w:r>
      <w:proofErr w:type="spellEnd"/>
      <w:r w:rsidR="00155293" w:rsidRPr="004E64DB">
        <w:rPr>
          <w:rFonts w:ascii="Garamond" w:hAnsi="Garamond"/>
          <w:i/>
          <w:iCs/>
          <w:sz w:val="20"/>
          <w:szCs w:val="20"/>
        </w:rPr>
        <w:t xml:space="preserve">́ universelle </w:t>
      </w:r>
      <w:r w:rsidR="00155293" w:rsidRPr="004E64DB">
        <w:rPr>
          <w:rFonts w:ascii="Garamond" w:hAnsi="Garamond"/>
          <w:sz w:val="20"/>
          <w:szCs w:val="20"/>
        </w:rPr>
        <w:t xml:space="preserve">: </w:t>
      </w:r>
      <w:r w:rsidR="00155293" w:rsidRPr="004E64DB">
        <w:rPr>
          <w:rFonts w:ascii="Garamond" w:hAnsi="Garamond"/>
          <w:i/>
          <w:iCs/>
          <w:sz w:val="20"/>
          <w:szCs w:val="20"/>
        </w:rPr>
        <w:t xml:space="preserve">De la </w:t>
      </w:r>
      <w:proofErr w:type="spellStart"/>
      <w:r w:rsidR="00155293" w:rsidRPr="004E64DB">
        <w:rPr>
          <w:rFonts w:ascii="Garamond" w:hAnsi="Garamond"/>
          <w:sz w:val="20"/>
          <w:szCs w:val="20"/>
        </w:rPr>
        <w:t>civitas</w:t>
      </w:r>
      <w:proofErr w:type="spellEnd"/>
      <w:r w:rsidR="00155293" w:rsidRPr="004E64DB">
        <w:rPr>
          <w:rFonts w:ascii="Garamond" w:hAnsi="Garamond"/>
          <w:sz w:val="20"/>
          <w:szCs w:val="20"/>
        </w:rPr>
        <w:t xml:space="preserve"> maxima </w:t>
      </w:r>
      <w:proofErr w:type="spellStart"/>
      <w:r w:rsidR="00155293" w:rsidRPr="004E64DB">
        <w:rPr>
          <w:rFonts w:ascii="Garamond" w:hAnsi="Garamond"/>
          <w:i/>
          <w:iCs/>
          <w:sz w:val="20"/>
          <w:szCs w:val="20"/>
        </w:rPr>
        <w:t>stoi</w:t>
      </w:r>
      <w:r w:rsidR="00155293" w:rsidRPr="004E64DB">
        <w:rPr>
          <w:i/>
          <w:iCs/>
          <w:sz w:val="20"/>
          <w:szCs w:val="20"/>
        </w:rPr>
        <w:t>̈</w:t>
      </w:r>
      <w:r w:rsidR="00155293" w:rsidRPr="004E64DB">
        <w:rPr>
          <w:rFonts w:ascii="Garamond" w:hAnsi="Garamond"/>
          <w:i/>
          <w:iCs/>
          <w:sz w:val="20"/>
          <w:szCs w:val="20"/>
        </w:rPr>
        <w:t>cienne</w:t>
      </w:r>
      <w:proofErr w:type="spellEnd"/>
      <w:r w:rsidR="00155293" w:rsidRPr="004E64DB">
        <w:rPr>
          <w:rFonts w:ascii="Garamond" w:hAnsi="Garamond"/>
          <w:i/>
          <w:iCs/>
          <w:sz w:val="20"/>
          <w:szCs w:val="20"/>
        </w:rPr>
        <w:t xml:space="preserve"> à la </w:t>
      </w:r>
      <w:proofErr w:type="spellStart"/>
      <w:r w:rsidR="00155293" w:rsidRPr="004E64DB">
        <w:rPr>
          <w:rFonts w:ascii="Garamond" w:hAnsi="Garamond"/>
          <w:sz w:val="20"/>
          <w:szCs w:val="20"/>
        </w:rPr>
        <w:t>civitas</w:t>
      </w:r>
      <w:proofErr w:type="spellEnd"/>
      <w:r w:rsidR="00155293" w:rsidRPr="004E64DB">
        <w:rPr>
          <w:rFonts w:ascii="Garamond" w:hAnsi="Garamond"/>
          <w:sz w:val="20"/>
          <w:szCs w:val="20"/>
        </w:rPr>
        <w:t xml:space="preserve"> </w:t>
      </w:r>
      <w:proofErr w:type="spellStart"/>
      <w:r w:rsidR="00155293" w:rsidRPr="004E64DB">
        <w:rPr>
          <w:rFonts w:ascii="Garamond" w:hAnsi="Garamond"/>
          <w:sz w:val="20"/>
          <w:szCs w:val="20"/>
        </w:rPr>
        <w:t>gentium</w:t>
      </w:r>
      <w:proofErr w:type="spellEnd"/>
      <w:r w:rsidR="00155293" w:rsidRPr="004E64DB">
        <w:rPr>
          <w:rFonts w:ascii="Garamond" w:hAnsi="Garamond"/>
          <w:sz w:val="20"/>
          <w:szCs w:val="20"/>
        </w:rPr>
        <w:t xml:space="preserve"> </w:t>
      </w:r>
      <w:r w:rsidR="00155293" w:rsidRPr="004E64DB">
        <w:rPr>
          <w:rFonts w:ascii="Garamond" w:hAnsi="Garamond"/>
          <w:i/>
          <w:iCs/>
          <w:sz w:val="20"/>
          <w:szCs w:val="20"/>
        </w:rPr>
        <w:t>moderne</w:t>
      </w:r>
      <w:r w:rsidR="00155293" w:rsidRPr="004E64DB">
        <w:rPr>
          <w:rFonts w:ascii="Garamond" w:hAnsi="Garamond"/>
          <w:sz w:val="20"/>
          <w:szCs w:val="20"/>
        </w:rPr>
        <w:t xml:space="preserve">, Lisbonne, </w:t>
      </w:r>
      <w:proofErr w:type="spellStart"/>
      <w:r w:rsidR="00155293" w:rsidRPr="004E64DB">
        <w:rPr>
          <w:rFonts w:ascii="Garamond" w:hAnsi="Garamond"/>
          <w:sz w:val="20"/>
          <w:szCs w:val="20"/>
        </w:rPr>
        <w:t>separata</w:t>
      </w:r>
      <w:proofErr w:type="spellEnd"/>
      <w:r w:rsidR="00155293" w:rsidRPr="004E64DB">
        <w:rPr>
          <w:rFonts w:ascii="Garamond" w:hAnsi="Garamond"/>
          <w:sz w:val="20"/>
          <w:szCs w:val="20"/>
        </w:rPr>
        <w:t xml:space="preserve"> da </w:t>
      </w:r>
      <w:proofErr w:type="spellStart"/>
      <w:r w:rsidR="00155293" w:rsidRPr="004E64DB">
        <w:rPr>
          <w:rFonts w:ascii="Garamond" w:hAnsi="Garamond"/>
          <w:i/>
          <w:iCs/>
          <w:sz w:val="20"/>
          <w:szCs w:val="20"/>
        </w:rPr>
        <w:t>Revista</w:t>
      </w:r>
      <w:proofErr w:type="spellEnd"/>
      <w:r w:rsidR="00155293" w:rsidRPr="004E64DB">
        <w:rPr>
          <w:rFonts w:ascii="Garamond" w:hAnsi="Garamond"/>
          <w:i/>
          <w:iCs/>
          <w:sz w:val="20"/>
          <w:szCs w:val="20"/>
        </w:rPr>
        <w:t xml:space="preserve"> da </w:t>
      </w:r>
      <w:proofErr w:type="spellStart"/>
      <w:r w:rsidR="00155293" w:rsidRPr="004E64DB">
        <w:rPr>
          <w:rFonts w:ascii="Garamond" w:hAnsi="Garamond"/>
          <w:i/>
          <w:iCs/>
          <w:sz w:val="20"/>
          <w:szCs w:val="20"/>
        </w:rPr>
        <w:t>Faculdade</w:t>
      </w:r>
      <w:proofErr w:type="spellEnd"/>
      <w:r w:rsidR="00155293" w:rsidRPr="004E64DB">
        <w:rPr>
          <w:rFonts w:ascii="Garamond" w:hAnsi="Garamond"/>
          <w:i/>
          <w:iCs/>
          <w:sz w:val="20"/>
          <w:szCs w:val="20"/>
        </w:rPr>
        <w:t xml:space="preserve"> de </w:t>
      </w:r>
      <w:proofErr w:type="spellStart"/>
      <w:r w:rsidR="00155293" w:rsidRPr="004E64DB">
        <w:rPr>
          <w:rFonts w:ascii="Garamond" w:hAnsi="Garamond"/>
          <w:i/>
          <w:iCs/>
          <w:sz w:val="20"/>
          <w:szCs w:val="20"/>
        </w:rPr>
        <w:t>Direito</w:t>
      </w:r>
      <w:proofErr w:type="spellEnd"/>
      <w:r w:rsidR="00155293" w:rsidRPr="004E64DB">
        <w:rPr>
          <w:rFonts w:ascii="Garamond" w:hAnsi="Garamond"/>
          <w:i/>
          <w:iCs/>
          <w:sz w:val="20"/>
          <w:szCs w:val="20"/>
        </w:rPr>
        <w:t xml:space="preserve"> da </w:t>
      </w:r>
      <w:proofErr w:type="spellStart"/>
      <w:r w:rsidR="00155293" w:rsidRPr="004E64DB">
        <w:rPr>
          <w:rFonts w:ascii="Garamond" w:hAnsi="Garamond"/>
          <w:i/>
          <w:iCs/>
          <w:sz w:val="20"/>
          <w:szCs w:val="20"/>
        </w:rPr>
        <w:t>Universidade</w:t>
      </w:r>
      <w:proofErr w:type="spellEnd"/>
      <w:r w:rsidR="00155293" w:rsidRPr="004E64DB">
        <w:rPr>
          <w:rFonts w:ascii="Garamond" w:hAnsi="Garamond"/>
          <w:i/>
          <w:iCs/>
          <w:sz w:val="20"/>
          <w:szCs w:val="20"/>
        </w:rPr>
        <w:t xml:space="preserve"> de Lisboa</w:t>
      </w:r>
      <w:r w:rsidR="00155293" w:rsidRPr="004E64DB">
        <w:rPr>
          <w:rFonts w:ascii="Garamond" w:hAnsi="Garamond"/>
          <w:sz w:val="20"/>
          <w:szCs w:val="20"/>
        </w:rPr>
        <w:t xml:space="preserve">, 1958, 147 p », </w:t>
      </w:r>
      <w:r w:rsidR="00155293" w:rsidRPr="004E64DB">
        <w:rPr>
          <w:rFonts w:ascii="Garamond" w:hAnsi="Garamond"/>
          <w:i/>
          <w:iCs/>
          <w:sz w:val="20"/>
          <w:szCs w:val="20"/>
        </w:rPr>
        <w:t>R.G.D.I.P</w:t>
      </w:r>
      <w:r w:rsidR="00155293" w:rsidRPr="004E64DB">
        <w:rPr>
          <w:rFonts w:ascii="Garamond" w:hAnsi="Garamond"/>
          <w:sz w:val="20"/>
          <w:szCs w:val="20"/>
        </w:rPr>
        <w:t xml:space="preserve">., 3/2012. </w:t>
      </w:r>
    </w:p>
    <w:p w14:paraId="032BA436" w14:textId="51C8FC84" w:rsidR="00155293" w:rsidRPr="004E64DB" w:rsidRDefault="002F3C95" w:rsidP="004E64DB">
      <w:pPr>
        <w:spacing w:before="100" w:beforeAutospacing="1" w:after="100" w:afterAutospacing="1"/>
        <w:jc w:val="both"/>
        <w:rPr>
          <w:rFonts w:ascii="Garamond" w:hAnsi="Garamond"/>
          <w:sz w:val="20"/>
          <w:szCs w:val="20"/>
        </w:rPr>
      </w:pPr>
      <w:r>
        <w:rPr>
          <w:rFonts w:ascii="Garamond" w:hAnsi="Garamond"/>
          <w:sz w:val="20"/>
          <w:szCs w:val="20"/>
        </w:rPr>
        <w:t>3</w:t>
      </w:r>
      <w:r w:rsidR="005650BE">
        <w:rPr>
          <w:rFonts w:ascii="Garamond" w:hAnsi="Garamond"/>
          <w:sz w:val="20"/>
          <w:szCs w:val="20"/>
        </w:rPr>
        <w:t>4</w:t>
      </w:r>
      <w:r w:rsidR="00155293" w:rsidRPr="004E64DB">
        <w:rPr>
          <w:rFonts w:ascii="Garamond" w:hAnsi="Garamond"/>
          <w:sz w:val="20"/>
          <w:szCs w:val="20"/>
        </w:rPr>
        <w:t>.</w:t>
      </w:r>
      <w:r w:rsidR="00251912">
        <w:rPr>
          <w:rFonts w:ascii="Garamond" w:hAnsi="Garamond"/>
          <w:sz w:val="20"/>
          <w:szCs w:val="20"/>
        </w:rPr>
        <w:t xml:space="preserve"> </w:t>
      </w:r>
      <w:r w:rsidR="00155293" w:rsidRPr="004E64DB">
        <w:rPr>
          <w:rFonts w:ascii="Garamond" w:hAnsi="Garamond"/>
          <w:sz w:val="20"/>
          <w:szCs w:val="20"/>
        </w:rPr>
        <w:t xml:space="preserve">« Les </w:t>
      </w:r>
      <w:proofErr w:type="spellStart"/>
      <w:r w:rsidR="00155293" w:rsidRPr="004E64DB">
        <w:rPr>
          <w:rFonts w:ascii="Garamond" w:hAnsi="Garamond"/>
          <w:sz w:val="20"/>
          <w:szCs w:val="20"/>
        </w:rPr>
        <w:t>compétences</w:t>
      </w:r>
      <w:proofErr w:type="spellEnd"/>
      <w:r w:rsidR="00155293" w:rsidRPr="004E64DB">
        <w:rPr>
          <w:rFonts w:ascii="Garamond" w:hAnsi="Garamond"/>
          <w:sz w:val="20"/>
          <w:szCs w:val="20"/>
        </w:rPr>
        <w:t xml:space="preserve"> internationales des </w:t>
      </w:r>
      <w:proofErr w:type="spellStart"/>
      <w:r w:rsidR="00155293" w:rsidRPr="004E64DB">
        <w:rPr>
          <w:rFonts w:ascii="Garamond" w:hAnsi="Garamond"/>
          <w:sz w:val="20"/>
          <w:szCs w:val="20"/>
        </w:rPr>
        <w:t>entités</w:t>
      </w:r>
      <w:proofErr w:type="spellEnd"/>
      <w:r w:rsidR="00155293" w:rsidRPr="004E64DB">
        <w:rPr>
          <w:rFonts w:ascii="Garamond" w:hAnsi="Garamond"/>
          <w:sz w:val="20"/>
          <w:szCs w:val="20"/>
        </w:rPr>
        <w:t xml:space="preserve"> territoriales autonomes »</w:t>
      </w:r>
      <w:r w:rsidR="00155293" w:rsidRPr="004E64DB">
        <w:rPr>
          <w:rFonts w:ascii="Garamond" w:hAnsi="Garamond"/>
          <w:i/>
          <w:iCs/>
          <w:sz w:val="20"/>
          <w:szCs w:val="20"/>
        </w:rPr>
        <w:t xml:space="preserve">, Annuaire </w:t>
      </w:r>
      <w:proofErr w:type="spellStart"/>
      <w:r w:rsidR="00155293" w:rsidRPr="004E64DB">
        <w:rPr>
          <w:rFonts w:ascii="Garamond" w:hAnsi="Garamond"/>
          <w:i/>
          <w:iCs/>
          <w:sz w:val="20"/>
          <w:szCs w:val="20"/>
        </w:rPr>
        <w:t>franc</w:t>
      </w:r>
      <w:r w:rsidR="00155293" w:rsidRPr="004E64DB">
        <w:rPr>
          <w:i/>
          <w:iCs/>
          <w:sz w:val="20"/>
          <w:szCs w:val="20"/>
        </w:rPr>
        <w:t>̧</w:t>
      </w:r>
      <w:r w:rsidR="00155293" w:rsidRPr="004E64DB">
        <w:rPr>
          <w:rFonts w:ascii="Garamond" w:hAnsi="Garamond"/>
          <w:i/>
          <w:iCs/>
          <w:sz w:val="20"/>
          <w:szCs w:val="20"/>
        </w:rPr>
        <w:t>ais</w:t>
      </w:r>
      <w:proofErr w:type="spellEnd"/>
      <w:r w:rsidR="00155293" w:rsidRPr="004E64DB">
        <w:rPr>
          <w:rFonts w:ascii="Garamond" w:hAnsi="Garamond"/>
          <w:i/>
          <w:iCs/>
          <w:sz w:val="20"/>
          <w:szCs w:val="20"/>
        </w:rPr>
        <w:t xml:space="preserve"> de droit international, </w:t>
      </w:r>
      <w:r w:rsidR="00155293" w:rsidRPr="004E64DB">
        <w:rPr>
          <w:rFonts w:ascii="Garamond" w:hAnsi="Garamond"/>
          <w:sz w:val="20"/>
          <w:szCs w:val="20"/>
        </w:rPr>
        <w:t xml:space="preserve">2010, pp. 167-195. </w:t>
      </w:r>
    </w:p>
    <w:p w14:paraId="3C47671C" w14:textId="0FAA0EFE" w:rsidR="00155293" w:rsidRPr="004E64DB" w:rsidRDefault="00155293" w:rsidP="004E64DB">
      <w:pPr>
        <w:spacing w:before="100" w:beforeAutospacing="1" w:after="100" w:afterAutospacing="1"/>
        <w:jc w:val="both"/>
        <w:rPr>
          <w:rFonts w:ascii="Garamond" w:hAnsi="Garamond"/>
          <w:sz w:val="20"/>
          <w:szCs w:val="20"/>
        </w:rPr>
      </w:pPr>
      <w:r w:rsidRPr="004E64DB">
        <w:rPr>
          <w:rFonts w:ascii="Garamond" w:hAnsi="Garamond"/>
          <w:sz w:val="20"/>
          <w:szCs w:val="20"/>
        </w:rPr>
        <w:t>3</w:t>
      </w:r>
      <w:r w:rsidR="005650BE">
        <w:rPr>
          <w:rFonts w:ascii="Garamond" w:hAnsi="Garamond"/>
          <w:sz w:val="20"/>
          <w:szCs w:val="20"/>
        </w:rPr>
        <w:t>3</w:t>
      </w:r>
      <w:r w:rsidRPr="004E64DB">
        <w:rPr>
          <w:rFonts w:ascii="Garamond" w:hAnsi="Garamond"/>
          <w:sz w:val="20"/>
          <w:szCs w:val="20"/>
        </w:rPr>
        <w:t>.</w:t>
      </w:r>
      <w:r w:rsidR="00251912">
        <w:rPr>
          <w:rFonts w:ascii="Garamond" w:hAnsi="Garamond"/>
          <w:sz w:val="20"/>
          <w:szCs w:val="20"/>
        </w:rPr>
        <w:t xml:space="preserve"> </w:t>
      </w:r>
      <w:r w:rsidRPr="004E64DB">
        <w:rPr>
          <w:rFonts w:ascii="Garamond" w:hAnsi="Garamond"/>
          <w:sz w:val="20"/>
          <w:szCs w:val="20"/>
        </w:rPr>
        <w:t xml:space="preserve">« Le pouvoir </w:t>
      </w:r>
      <w:proofErr w:type="spellStart"/>
      <w:r w:rsidRPr="004E64DB">
        <w:rPr>
          <w:rFonts w:ascii="Garamond" w:hAnsi="Garamond"/>
          <w:sz w:val="20"/>
          <w:szCs w:val="20"/>
        </w:rPr>
        <w:t>discrétionnaire</w:t>
      </w:r>
      <w:proofErr w:type="spellEnd"/>
      <w:r w:rsidRPr="004E64DB">
        <w:rPr>
          <w:rFonts w:ascii="Garamond" w:hAnsi="Garamond"/>
          <w:sz w:val="20"/>
          <w:szCs w:val="20"/>
        </w:rPr>
        <w:t xml:space="preserve"> du juge au sein de la Cour internationale de Justice », pp. 277-300 in W. </w:t>
      </w:r>
      <w:proofErr w:type="spellStart"/>
      <w:r w:rsidRPr="004E64DB">
        <w:rPr>
          <w:rFonts w:ascii="Garamond" w:hAnsi="Garamond"/>
          <w:sz w:val="20"/>
          <w:szCs w:val="20"/>
        </w:rPr>
        <w:t>Jakimowicz</w:t>
      </w:r>
      <w:proofErr w:type="spellEnd"/>
      <w:r w:rsidRPr="004E64DB">
        <w:rPr>
          <w:rFonts w:ascii="Garamond" w:hAnsi="Garamond"/>
          <w:sz w:val="20"/>
          <w:szCs w:val="20"/>
        </w:rPr>
        <w:t xml:space="preserve"> et P. </w:t>
      </w:r>
      <w:proofErr w:type="spellStart"/>
      <w:r w:rsidRPr="004E64DB">
        <w:rPr>
          <w:rFonts w:ascii="Garamond" w:hAnsi="Garamond"/>
          <w:sz w:val="20"/>
          <w:szCs w:val="20"/>
        </w:rPr>
        <w:t>Serrand</w:t>
      </w:r>
      <w:proofErr w:type="spellEnd"/>
      <w:r w:rsidRPr="004E64DB">
        <w:rPr>
          <w:rFonts w:ascii="Garamond" w:hAnsi="Garamond"/>
          <w:sz w:val="20"/>
          <w:szCs w:val="20"/>
        </w:rPr>
        <w:t xml:space="preserve"> (</w:t>
      </w:r>
      <w:proofErr w:type="spellStart"/>
      <w:r w:rsidRPr="004E64DB">
        <w:rPr>
          <w:rFonts w:ascii="Garamond" w:hAnsi="Garamond"/>
          <w:sz w:val="20"/>
          <w:szCs w:val="20"/>
        </w:rPr>
        <w:t>dir</w:t>
      </w:r>
      <w:proofErr w:type="spellEnd"/>
      <w:r w:rsidRPr="004E64DB">
        <w:rPr>
          <w:rFonts w:ascii="Garamond" w:hAnsi="Garamond"/>
          <w:sz w:val="20"/>
          <w:szCs w:val="20"/>
        </w:rPr>
        <w:t xml:space="preserve">.), </w:t>
      </w:r>
      <w:r w:rsidRPr="004E64DB">
        <w:rPr>
          <w:rFonts w:ascii="Garamond" w:hAnsi="Garamond"/>
          <w:i/>
          <w:iCs/>
          <w:sz w:val="20"/>
          <w:szCs w:val="20"/>
        </w:rPr>
        <w:t xml:space="preserve">Le pouvoir </w:t>
      </w:r>
      <w:proofErr w:type="spellStart"/>
      <w:r w:rsidRPr="004E64DB">
        <w:rPr>
          <w:rFonts w:ascii="Garamond" w:hAnsi="Garamond"/>
          <w:i/>
          <w:iCs/>
          <w:sz w:val="20"/>
          <w:szCs w:val="20"/>
        </w:rPr>
        <w:t>discrétionnaire</w:t>
      </w:r>
      <w:proofErr w:type="spellEnd"/>
      <w:r w:rsidRPr="004E64DB">
        <w:rPr>
          <w:rFonts w:ascii="Garamond" w:hAnsi="Garamond"/>
          <w:i/>
          <w:iCs/>
          <w:sz w:val="20"/>
          <w:szCs w:val="20"/>
        </w:rPr>
        <w:t xml:space="preserve">. Approches </w:t>
      </w:r>
      <w:proofErr w:type="spellStart"/>
      <w:r w:rsidRPr="004E64DB">
        <w:rPr>
          <w:rFonts w:ascii="Garamond" w:hAnsi="Garamond"/>
          <w:i/>
          <w:iCs/>
          <w:sz w:val="20"/>
          <w:szCs w:val="20"/>
        </w:rPr>
        <w:t>comparées</w:t>
      </w:r>
      <w:proofErr w:type="spellEnd"/>
      <w:r w:rsidRPr="004E64DB">
        <w:rPr>
          <w:rFonts w:ascii="Garamond" w:hAnsi="Garamond"/>
          <w:i/>
          <w:iCs/>
          <w:sz w:val="20"/>
          <w:szCs w:val="20"/>
        </w:rPr>
        <w:t xml:space="preserve"> en droit </w:t>
      </w:r>
      <w:proofErr w:type="spellStart"/>
      <w:r w:rsidRPr="004E64DB">
        <w:rPr>
          <w:rFonts w:ascii="Garamond" w:hAnsi="Garamond"/>
          <w:i/>
          <w:iCs/>
          <w:sz w:val="20"/>
          <w:szCs w:val="20"/>
        </w:rPr>
        <w:t>franc</w:t>
      </w:r>
      <w:r w:rsidRPr="004E64DB">
        <w:rPr>
          <w:i/>
          <w:iCs/>
          <w:sz w:val="20"/>
          <w:szCs w:val="20"/>
        </w:rPr>
        <w:t>̧</w:t>
      </w:r>
      <w:r w:rsidRPr="004E64DB">
        <w:rPr>
          <w:rFonts w:ascii="Garamond" w:hAnsi="Garamond"/>
          <w:i/>
          <w:iCs/>
          <w:sz w:val="20"/>
          <w:szCs w:val="20"/>
        </w:rPr>
        <w:t>ais</w:t>
      </w:r>
      <w:proofErr w:type="spellEnd"/>
      <w:r w:rsidRPr="004E64DB">
        <w:rPr>
          <w:rFonts w:ascii="Garamond" w:hAnsi="Garamond"/>
          <w:i/>
          <w:iCs/>
          <w:sz w:val="20"/>
          <w:szCs w:val="20"/>
        </w:rPr>
        <w:t xml:space="preserve"> et en droit polonais</w:t>
      </w:r>
      <w:r w:rsidRPr="004E64DB">
        <w:rPr>
          <w:rFonts w:ascii="Garamond" w:hAnsi="Garamond"/>
          <w:sz w:val="20"/>
          <w:szCs w:val="20"/>
        </w:rPr>
        <w:t xml:space="preserve">, Actes du colloque de Cracovie - </w:t>
      </w:r>
      <w:proofErr w:type="spellStart"/>
      <w:r w:rsidRPr="004E64DB">
        <w:rPr>
          <w:rFonts w:ascii="Garamond" w:hAnsi="Garamond"/>
          <w:sz w:val="20"/>
          <w:szCs w:val="20"/>
        </w:rPr>
        <w:t>Universite</w:t>
      </w:r>
      <w:proofErr w:type="spellEnd"/>
      <w:r w:rsidRPr="004E64DB">
        <w:rPr>
          <w:rFonts w:ascii="Garamond" w:hAnsi="Garamond"/>
          <w:sz w:val="20"/>
          <w:szCs w:val="20"/>
        </w:rPr>
        <w:t xml:space="preserve">́ </w:t>
      </w:r>
      <w:proofErr w:type="spellStart"/>
      <w:r w:rsidRPr="004E64DB">
        <w:rPr>
          <w:rFonts w:ascii="Garamond" w:hAnsi="Garamond"/>
          <w:sz w:val="20"/>
          <w:szCs w:val="20"/>
        </w:rPr>
        <w:t>Jagelonne</w:t>
      </w:r>
      <w:proofErr w:type="spellEnd"/>
      <w:r w:rsidRPr="004E64DB">
        <w:rPr>
          <w:rFonts w:ascii="Garamond" w:hAnsi="Garamond"/>
          <w:sz w:val="20"/>
          <w:szCs w:val="20"/>
        </w:rPr>
        <w:t xml:space="preserve">, 23 mars 2012, Paris, Mare et Martin, 490 p. </w:t>
      </w:r>
    </w:p>
    <w:p w14:paraId="1A4B7F8F" w14:textId="67EADA1A" w:rsidR="00155293" w:rsidRPr="004E64DB" w:rsidRDefault="004846F6" w:rsidP="004E64DB">
      <w:pPr>
        <w:spacing w:before="100" w:beforeAutospacing="1" w:after="100" w:afterAutospacing="1"/>
        <w:jc w:val="both"/>
        <w:rPr>
          <w:rFonts w:ascii="Garamond" w:hAnsi="Garamond"/>
          <w:sz w:val="20"/>
          <w:szCs w:val="20"/>
        </w:rPr>
      </w:pPr>
      <w:r>
        <w:rPr>
          <w:rFonts w:ascii="Garamond" w:hAnsi="Garamond"/>
          <w:sz w:val="20"/>
          <w:szCs w:val="20"/>
        </w:rPr>
        <w:t>3</w:t>
      </w:r>
      <w:r w:rsidR="005650BE">
        <w:rPr>
          <w:rFonts w:ascii="Garamond" w:hAnsi="Garamond"/>
          <w:sz w:val="20"/>
          <w:szCs w:val="20"/>
        </w:rPr>
        <w:t>2</w:t>
      </w:r>
      <w:r w:rsidR="00155293" w:rsidRPr="004E64DB">
        <w:rPr>
          <w:rFonts w:ascii="Garamond" w:hAnsi="Garamond"/>
          <w:sz w:val="20"/>
          <w:szCs w:val="20"/>
        </w:rPr>
        <w:t>.</w:t>
      </w:r>
      <w:r w:rsidR="00251912">
        <w:rPr>
          <w:rFonts w:ascii="Garamond" w:hAnsi="Garamond"/>
          <w:sz w:val="20"/>
          <w:szCs w:val="20"/>
        </w:rPr>
        <w:t xml:space="preserve"> </w:t>
      </w:r>
      <w:proofErr w:type="spellStart"/>
      <w:r w:rsidR="00155293" w:rsidRPr="004E64DB">
        <w:rPr>
          <w:rFonts w:ascii="Garamond" w:hAnsi="Garamond"/>
          <w:sz w:val="20"/>
          <w:szCs w:val="20"/>
        </w:rPr>
        <w:t>Capítulo</w:t>
      </w:r>
      <w:proofErr w:type="spellEnd"/>
      <w:r w:rsidR="00155293" w:rsidRPr="004E64DB">
        <w:rPr>
          <w:rFonts w:ascii="Garamond" w:hAnsi="Garamond"/>
          <w:sz w:val="20"/>
          <w:szCs w:val="20"/>
        </w:rPr>
        <w:t xml:space="preserve"> 9 : Asia : La </w:t>
      </w:r>
      <w:proofErr w:type="spellStart"/>
      <w:r w:rsidR="00155293" w:rsidRPr="004E64DB">
        <w:rPr>
          <w:rFonts w:ascii="Garamond" w:hAnsi="Garamond"/>
          <w:sz w:val="20"/>
          <w:szCs w:val="20"/>
        </w:rPr>
        <w:t>Asociación</w:t>
      </w:r>
      <w:proofErr w:type="spellEnd"/>
      <w:r w:rsidR="00155293" w:rsidRPr="004E64DB">
        <w:rPr>
          <w:rFonts w:ascii="Garamond" w:hAnsi="Garamond"/>
          <w:sz w:val="20"/>
          <w:szCs w:val="20"/>
        </w:rPr>
        <w:t xml:space="preserve"> de </w:t>
      </w:r>
      <w:proofErr w:type="spellStart"/>
      <w:r w:rsidR="00155293" w:rsidRPr="004E64DB">
        <w:rPr>
          <w:rFonts w:ascii="Garamond" w:hAnsi="Garamond"/>
          <w:sz w:val="20"/>
          <w:szCs w:val="20"/>
        </w:rPr>
        <w:t>Naciones</w:t>
      </w:r>
      <w:proofErr w:type="spellEnd"/>
      <w:r w:rsidR="00155293" w:rsidRPr="004E64DB">
        <w:rPr>
          <w:rFonts w:ascii="Garamond" w:hAnsi="Garamond"/>
          <w:sz w:val="20"/>
          <w:szCs w:val="20"/>
        </w:rPr>
        <w:t xml:space="preserve"> </w:t>
      </w:r>
      <w:proofErr w:type="spellStart"/>
      <w:r w:rsidR="00155293" w:rsidRPr="004E64DB">
        <w:rPr>
          <w:rFonts w:ascii="Garamond" w:hAnsi="Garamond"/>
          <w:sz w:val="20"/>
          <w:szCs w:val="20"/>
        </w:rPr>
        <w:t>del</w:t>
      </w:r>
      <w:proofErr w:type="spellEnd"/>
      <w:r w:rsidR="00155293" w:rsidRPr="004E64DB">
        <w:rPr>
          <w:rFonts w:ascii="Garamond" w:hAnsi="Garamond"/>
          <w:sz w:val="20"/>
          <w:szCs w:val="20"/>
        </w:rPr>
        <w:t xml:space="preserve"> </w:t>
      </w:r>
      <w:proofErr w:type="spellStart"/>
      <w:r w:rsidR="00155293" w:rsidRPr="004E64DB">
        <w:rPr>
          <w:rFonts w:ascii="Garamond" w:hAnsi="Garamond"/>
          <w:sz w:val="20"/>
          <w:szCs w:val="20"/>
        </w:rPr>
        <w:t>Sudeste</w:t>
      </w:r>
      <w:proofErr w:type="spellEnd"/>
      <w:r w:rsidR="00155293" w:rsidRPr="004E64DB">
        <w:rPr>
          <w:rFonts w:ascii="Garamond" w:hAnsi="Garamond"/>
          <w:sz w:val="20"/>
          <w:szCs w:val="20"/>
        </w:rPr>
        <w:t xml:space="preserve"> </w:t>
      </w:r>
      <w:proofErr w:type="spellStart"/>
      <w:r w:rsidR="00155293" w:rsidRPr="004E64DB">
        <w:rPr>
          <w:rFonts w:ascii="Garamond" w:hAnsi="Garamond"/>
          <w:sz w:val="20"/>
          <w:szCs w:val="20"/>
        </w:rPr>
        <w:t>Asiático</w:t>
      </w:r>
      <w:proofErr w:type="spellEnd"/>
      <w:r w:rsidR="00155293" w:rsidRPr="004E64DB">
        <w:rPr>
          <w:rFonts w:ascii="Garamond" w:hAnsi="Garamond"/>
          <w:sz w:val="20"/>
          <w:szCs w:val="20"/>
        </w:rPr>
        <w:t xml:space="preserve"> (ASEAN) y la </w:t>
      </w:r>
      <w:proofErr w:type="spellStart"/>
      <w:r w:rsidR="00155293" w:rsidRPr="004E64DB">
        <w:rPr>
          <w:rFonts w:ascii="Garamond" w:hAnsi="Garamond"/>
          <w:sz w:val="20"/>
          <w:szCs w:val="20"/>
        </w:rPr>
        <w:t>Asociación</w:t>
      </w:r>
      <w:proofErr w:type="spellEnd"/>
      <w:r w:rsidR="00155293" w:rsidRPr="004E64DB">
        <w:rPr>
          <w:rFonts w:ascii="Garamond" w:hAnsi="Garamond"/>
          <w:sz w:val="20"/>
          <w:szCs w:val="20"/>
        </w:rPr>
        <w:t xml:space="preserve"> de Asia </w:t>
      </w:r>
      <w:proofErr w:type="spellStart"/>
      <w:r w:rsidR="00155293" w:rsidRPr="004E64DB">
        <w:rPr>
          <w:rFonts w:ascii="Garamond" w:hAnsi="Garamond"/>
          <w:sz w:val="20"/>
          <w:szCs w:val="20"/>
        </w:rPr>
        <w:t>del</w:t>
      </w:r>
      <w:proofErr w:type="spellEnd"/>
      <w:r w:rsidR="00155293" w:rsidRPr="004E64DB">
        <w:rPr>
          <w:rFonts w:ascii="Garamond" w:hAnsi="Garamond"/>
          <w:sz w:val="20"/>
          <w:szCs w:val="20"/>
        </w:rPr>
        <w:t xml:space="preserve"> Sur para la </w:t>
      </w:r>
      <w:proofErr w:type="spellStart"/>
      <w:r w:rsidR="00155293" w:rsidRPr="004E64DB">
        <w:rPr>
          <w:rFonts w:ascii="Garamond" w:hAnsi="Garamond"/>
          <w:sz w:val="20"/>
          <w:szCs w:val="20"/>
        </w:rPr>
        <w:t>Cooperación</w:t>
      </w:r>
      <w:proofErr w:type="spellEnd"/>
      <w:r w:rsidR="00155293" w:rsidRPr="004E64DB">
        <w:rPr>
          <w:rFonts w:ascii="Garamond" w:hAnsi="Garamond"/>
          <w:sz w:val="20"/>
          <w:szCs w:val="20"/>
        </w:rPr>
        <w:t xml:space="preserve"> </w:t>
      </w:r>
      <w:proofErr w:type="spellStart"/>
      <w:r w:rsidR="00155293" w:rsidRPr="004E64DB">
        <w:rPr>
          <w:rFonts w:ascii="Garamond" w:hAnsi="Garamond"/>
          <w:sz w:val="20"/>
          <w:szCs w:val="20"/>
        </w:rPr>
        <w:t>Regional</w:t>
      </w:r>
      <w:proofErr w:type="spellEnd"/>
      <w:r w:rsidR="00155293" w:rsidRPr="004E64DB">
        <w:rPr>
          <w:rFonts w:ascii="Garamond" w:hAnsi="Garamond"/>
          <w:sz w:val="20"/>
          <w:szCs w:val="20"/>
        </w:rPr>
        <w:t xml:space="preserve"> (SAARC) pp. 285-308 </w:t>
      </w:r>
      <w:r w:rsidR="00155293" w:rsidRPr="004E64DB">
        <w:rPr>
          <w:rFonts w:ascii="Garamond" w:hAnsi="Garamond"/>
          <w:i/>
          <w:iCs/>
          <w:sz w:val="20"/>
          <w:szCs w:val="20"/>
        </w:rPr>
        <w:t xml:space="preserve">in </w:t>
      </w:r>
      <w:proofErr w:type="spellStart"/>
      <w:r w:rsidR="00155293" w:rsidRPr="004E64DB">
        <w:rPr>
          <w:rFonts w:ascii="Garamond" w:hAnsi="Garamond"/>
          <w:sz w:val="20"/>
          <w:szCs w:val="20"/>
        </w:rPr>
        <w:t>Fernández</w:t>
      </w:r>
      <w:proofErr w:type="spellEnd"/>
      <w:r w:rsidR="00155293" w:rsidRPr="004E64DB">
        <w:rPr>
          <w:rFonts w:ascii="Garamond" w:hAnsi="Garamond"/>
          <w:sz w:val="20"/>
          <w:szCs w:val="20"/>
        </w:rPr>
        <w:t xml:space="preserve"> </w:t>
      </w:r>
      <w:proofErr w:type="spellStart"/>
      <w:r w:rsidR="00155293" w:rsidRPr="004E64DB">
        <w:rPr>
          <w:rFonts w:ascii="Garamond" w:hAnsi="Garamond"/>
          <w:sz w:val="20"/>
          <w:szCs w:val="20"/>
        </w:rPr>
        <w:t>Liesa</w:t>
      </w:r>
      <w:proofErr w:type="spellEnd"/>
      <w:r w:rsidR="00155293" w:rsidRPr="004E64DB">
        <w:rPr>
          <w:rFonts w:ascii="Garamond" w:hAnsi="Garamond"/>
          <w:sz w:val="20"/>
          <w:szCs w:val="20"/>
        </w:rPr>
        <w:t xml:space="preserve"> (C. R.) y Cano Linares (A.) (</w:t>
      </w:r>
      <w:proofErr w:type="spellStart"/>
      <w:r w:rsidR="00155293" w:rsidRPr="004E64DB">
        <w:rPr>
          <w:rFonts w:ascii="Garamond" w:hAnsi="Garamond"/>
          <w:sz w:val="20"/>
          <w:szCs w:val="20"/>
        </w:rPr>
        <w:t>dir</w:t>
      </w:r>
      <w:proofErr w:type="spellEnd"/>
      <w:r w:rsidR="00155293" w:rsidRPr="004E64DB">
        <w:rPr>
          <w:rFonts w:ascii="Garamond" w:hAnsi="Garamond"/>
          <w:sz w:val="20"/>
          <w:szCs w:val="20"/>
        </w:rPr>
        <w:t xml:space="preserve">.), Los </w:t>
      </w:r>
      <w:proofErr w:type="spellStart"/>
      <w:r w:rsidR="00155293" w:rsidRPr="004E64DB">
        <w:rPr>
          <w:rFonts w:ascii="Garamond" w:hAnsi="Garamond"/>
          <w:sz w:val="20"/>
          <w:szCs w:val="20"/>
        </w:rPr>
        <w:t>Procesos</w:t>
      </w:r>
      <w:proofErr w:type="spellEnd"/>
      <w:r w:rsidR="00155293" w:rsidRPr="004E64DB">
        <w:rPr>
          <w:rFonts w:ascii="Garamond" w:hAnsi="Garamond"/>
          <w:sz w:val="20"/>
          <w:szCs w:val="20"/>
        </w:rPr>
        <w:t xml:space="preserve"> de </w:t>
      </w:r>
      <w:proofErr w:type="spellStart"/>
      <w:r w:rsidR="00155293" w:rsidRPr="004E64DB">
        <w:rPr>
          <w:rFonts w:ascii="Garamond" w:hAnsi="Garamond"/>
          <w:sz w:val="20"/>
          <w:szCs w:val="20"/>
        </w:rPr>
        <w:t>Integración</w:t>
      </w:r>
      <w:proofErr w:type="spellEnd"/>
      <w:r w:rsidR="00155293" w:rsidRPr="004E64DB">
        <w:rPr>
          <w:rFonts w:ascii="Garamond" w:hAnsi="Garamond"/>
          <w:sz w:val="20"/>
          <w:szCs w:val="20"/>
        </w:rPr>
        <w:t xml:space="preserve"> ante la </w:t>
      </w:r>
      <w:proofErr w:type="spellStart"/>
      <w:r w:rsidR="00155293" w:rsidRPr="004E64DB">
        <w:rPr>
          <w:rFonts w:ascii="Garamond" w:hAnsi="Garamond"/>
          <w:sz w:val="20"/>
          <w:szCs w:val="20"/>
        </w:rPr>
        <w:t>Crisis</w:t>
      </w:r>
      <w:proofErr w:type="spellEnd"/>
      <w:r w:rsidR="00155293" w:rsidRPr="004E64DB">
        <w:rPr>
          <w:rFonts w:ascii="Garamond" w:hAnsi="Garamond"/>
          <w:sz w:val="20"/>
          <w:szCs w:val="20"/>
        </w:rPr>
        <w:t xml:space="preserve"> </w:t>
      </w:r>
      <w:proofErr w:type="spellStart"/>
      <w:r w:rsidR="00155293" w:rsidRPr="004E64DB">
        <w:rPr>
          <w:rFonts w:ascii="Garamond" w:hAnsi="Garamond"/>
          <w:sz w:val="20"/>
          <w:szCs w:val="20"/>
        </w:rPr>
        <w:t>Financiera</w:t>
      </w:r>
      <w:proofErr w:type="spellEnd"/>
      <w:r w:rsidR="00155293" w:rsidRPr="004E64DB">
        <w:rPr>
          <w:rFonts w:ascii="Garamond" w:hAnsi="Garamond"/>
          <w:sz w:val="20"/>
          <w:szCs w:val="20"/>
        </w:rPr>
        <w:t xml:space="preserve"> International, </w:t>
      </w:r>
      <w:proofErr w:type="spellStart"/>
      <w:r w:rsidR="00155293" w:rsidRPr="004E64DB">
        <w:rPr>
          <w:rFonts w:ascii="Garamond" w:hAnsi="Garamond"/>
          <w:sz w:val="20"/>
          <w:szCs w:val="20"/>
        </w:rPr>
        <w:t>Civitas</w:t>
      </w:r>
      <w:proofErr w:type="spellEnd"/>
      <w:r w:rsidR="00155293" w:rsidRPr="004E64DB">
        <w:rPr>
          <w:rFonts w:ascii="Garamond" w:hAnsi="Garamond"/>
          <w:sz w:val="20"/>
          <w:szCs w:val="20"/>
        </w:rPr>
        <w:t xml:space="preserve">, 2012, 354 p. </w:t>
      </w:r>
    </w:p>
    <w:p w14:paraId="5D694805" w14:textId="06BB3702" w:rsidR="001513EB" w:rsidRPr="004E64DB" w:rsidRDefault="005650BE" w:rsidP="004E64DB">
      <w:pPr>
        <w:spacing w:before="100" w:beforeAutospacing="1" w:after="100" w:afterAutospacing="1"/>
        <w:jc w:val="both"/>
        <w:rPr>
          <w:rFonts w:ascii="Garamond" w:hAnsi="Garamond"/>
          <w:sz w:val="20"/>
          <w:szCs w:val="20"/>
        </w:rPr>
      </w:pPr>
      <w:r>
        <w:rPr>
          <w:rFonts w:ascii="Garamond" w:hAnsi="Garamond"/>
          <w:sz w:val="20"/>
          <w:szCs w:val="20"/>
        </w:rPr>
        <w:t>31</w:t>
      </w:r>
      <w:r w:rsidR="00155293" w:rsidRPr="004E64DB">
        <w:rPr>
          <w:rFonts w:ascii="Garamond" w:hAnsi="Garamond"/>
          <w:sz w:val="20"/>
          <w:szCs w:val="20"/>
        </w:rPr>
        <w:t>.</w:t>
      </w:r>
      <w:r w:rsidR="00251912">
        <w:rPr>
          <w:rFonts w:ascii="Garamond" w:hAnsi="Garamond"/>
          <w:sz w:val="20"/>
          <w:szCs w:val="20"/>
        </w:rPr>
        <w:t xml:space="preserve"> </w:t>
      </w:r>
      <w:proofErr w:type="spellStart"/>
      <w:r w:rsidR="00155293" w:rsidRPr="004E64DB">
        <w:rPr>
          <w:rFonts w:ascii="Garamond" w:hAnsi="Garamond"/>
          <w:sz w:val="20"/>
          <w:szCs w:val="20"/>
        </w:rPr>
        <w:t>Díaz</w:t>
      </w:r>
      <w:proofErr w:type="spellEnd"/>
      <w:r w:rsidR="00155293" w:rsidRPr="004E64DB">
        <w:rPr>
          <w:rFonts w:ascii="Garamond" w:hAnsi="Garamond"/>
          <w:sz w:val="20"/>
          <w:szCs w:val="20"/>
        </w:rPr>
        <w:t xml:space="preserve"> </w:t>
      </w:r>
      <w:proofErr w:type="spellStart"/>
      <w:r w:rsidR="00155293" w:rsidRPr="004E64DB">
        <w:rPr>
          <w:rFonts w:ascii="Garamond" w:hAnsi="Garamond"/>
          <w:sz w:val="20"/>
          <w:szCs w:val="20"/>
        </w:rPr>
        <w:t>Barrado</w:t>
      </w:r>
      <w:proofErr w:type="spellEnd"/>
      <w:r w:rsidR="00155293" w:rsidRPr="004E64DB">
        <w:rPr>
          <w:rFonts w:ascii="Garamond" w:hAnsi="Garamond"/>
          <w:sz w:val="20"/>
          <w:szCs w:val="20"/>
        </w:rPr>
        <w:t xml:space="preserve"> (C.) et </w:t>
      </w:r>
      <w:proofErr w:type="spellStart"/>
      <w:r w:rsidR="00155293" w:rsidRPr="004E64DB">
        <w:rPr>
          <w:rFonts w:ascii="Garamond" w:hAnsi="Garamond"/>
          <w:sz w:val="20"/>
          <w:szCs w:val="20"/>
        </w:rPr>
        <w:t>Manero</w:t>
      </w:r>
      <w:proofErr w:type="spellEnd"/>
      <w:r w:rsidR="00155293" w:rsidRPr="004E64DB">
        <w:rPr>
          <w:rFonts w:ascii="Garamond" w:hAnsi="Garamond"/>
          <w:sz w:val="20"/>
          <w:szCs w:val="20"/>
        </w:rPr>
        <w:t xml:space="preserve"> Salvador (A.) (</w:t>
      </w:r>
      <w:proofErr w:type="spellStart"/>
      <w:r w:rsidR="00155293" w:rsidRPr="004E64DB">
        <w:rPr>
          <w:rFonts w:ascii="Garamond" w:hAnsi="Garamond"/>
          <w:sz w:val="20"/>
          <w:szCs w:val="20"/>
        </w:rPr>
        <w:t>dir</w:t>
      </w:r>
      <w:proofErr w:type="spellEnd"/>
      <w:r w:rsidR="00155293" w:rsidRPr="004E64DB">
        <w:rPr>
          <w:rFonts w:ascii="Garamond" w:hAnsi="Garamond"/>
          <w:sz w:val="20"/>
          <w:szCs w:val="20"/>
        </w:rPr>
        <w:t xml:space="preserve">.), </w:t>
      </w:r>
      <w:proofErr w:type="spellStart"/>
      <w:r w:rsidR="00155293" w:rsidRPr="004E64DB">
        <w:rPr>
          <w:rFonts w:ascii="Garamond" w:hAnsi="Garamond"/>
          <w:i/>
          <w:iCs/>
          <w:sz w:val="20"/>
          <w:szCs w:val="20"/>
        </w:rPr>
        <w:t>Glosario</w:t>
      </w:r>
      <w:proofErr w:type="spellEnd"/>
      <w:r w:rsidR="00155293" w:rsidRPr="004E64DB">
        <w:rPr>
          <w:rFonts w:ascii="Garamond" w:hAnsi="Garamond"/>
          <w:i/>
          <w:iCs/>
          <w:sz w:val="20"/>
          <w:szCs w:val="20"/>
        </w:rPr>
        <w:t xml:space="preserve"> de </w:t>
      </w:r>
      <w:proofErr w:type="spellStart"/>
      <w:r w:rsidR="00155293" w:rsidRPr="004E64DB">
        <w:rPr>
          <w:rFonts w:ascii="Garamond" w:hAnsi="Garamond"/>
          <w:i/>
          <w:iCs/>
          <w:sz w:val="20"/>
          <w:szCs w:val="20"/>
        </w:rPr>
        <w:t>términos</w:t>
      </w:r>
      <w:proofErr w:type="spellEnd"/>
      <w:r w:rsidR="00155293" w:rsidRPr="004E64DB">
        <w:rPr>
          <w:rFonts w:ascii="Garamond" w:hAnsi="Garamond"/>
          <w:i/>
          <w:iCs/>
          <w:sz w:val="20"/>
          <w:szCs w:val="20"/>
        </w:rPr>
        <w:t xml:space="preserve"> </w:t>
      </w:r>
      <w:proofErr w:type="spellStart"/>
      <w:r w:rsidR="00155293" w:rsidRPr="004E64DB">
        <w:rPr>
          <w:rFonts w:ascii="Garamond" w:hAnsi="Garamond"/>
          <w:i/>
          <w:iCs/>
          <w:sz w:val="20"/>
          <w:szCs w:val="20"/>
        </w:rPr>
        <w:t>útiles</w:t>
      </w:r>
      <w:proofErr w:type="spellEnd"/>
      <w:r w:rsidR="00155293" w:rsidRPr="004E64DB">
        <w:rPr>
          <w:rFonts w:ascii="Garamond" w:hAnsi="Garamond"/>
          <w:i/>
          <w:iCs/>
          <w:sz w:val="20"/>
          <w:szCs w:val="20"/>
        </w:rPr>
        <w:t xml:space="preserve"> para el </w:t>
      </w:r>
      <w:proofErr w:type="spellStart"/>
      <w:r w:rsidR="00155293" w:rsidRPr="004E64DB">
        <w:rPr>
          <w:rFonts w:ascii="Garamond" w:hAnsi="Garamond"/>
          <w:i/>
          <w:iCs/>
          <w:sz w:val="20"/>
          <w:szCs w:val="20"/>
        </w:rPr>
        <w:t>análisis</w:t>
      </w:r>
      <w:proofErr w:type="spellEnd"/>
      <w:r w:rsidR="00155293" w:rsidRPr="004E64DB">
        <w:rPr>
          <w:rFonts w:ascii="Garamond" w:hAnsi="Garamond"/>
          <w:i/>
          <w:iCs/>
          <w:sz w:val="20"/>
          <w:szCs w:val="20"/>
        </w:rPr>
        <w:t xml:space="preserve"> y </w:t>
      </w:r>
      <w:proofErr w:type="spellStart"/>
      <w:r w:rsidR="00155293" w:rsidRPr="004E64DB">
        <w:rPr>
          <w:rFonts w:ascii="Garamond" w:hAnsi="Garamond"/>
          <w:i/>
          <w:iCs/>
          <w:sz w:val="20"/>
          <w:szCs w:val="20"/>
        </w:rPr>
        <w:t>estudio</w:t>
      </w:r>
      <w:proofErr w:type="spellEnd"/>
      <w:r w:rsidR="00155293" w:rsidRPr="004E64DB">
        <w:rPr>
          <w:rFonts w:ascii="Garamond" w:hAnsi="Garamond"/>
          <w:i/>
          <w:iCs/>
          <w:sz w:val="20"/>
          <w:szCs w:val="20"/>
        </w:rPr>
        <w:t xml:space="preserve"> </w:t>
      </w:r>
      <w:proofErr w:type="spellStart"/>
      <w:r w:rsidR="00155293" w:rsidRPr="004E64DB">
        <w:rPr>
          <w:rFonts w:ascii="Garamond" w:hAnsi="Garamond"/>
          <w:i/>
          <w:iCs/>
          <w:sz w:val="20"/>
          <w:szCs w:val="20"/>
        </w:rPr>
        <w:t>del</w:t>
      </w:r>
      <w:proofErr w:type="spellEnd"/>
      <w:r w:rsidR="00155293" w:rsidRPr="004E64DB">
        <w:rPr>
          <w:rFonts w:ascii="Garamond" w:hAnsi="Garamond"/>
          <w:i/>
          <w:iCs/>
          <w:sz w:val="20"/>
          <w:szCs w:val="20"/>
        </w:rPr>
        <w:t xml:space="preserve"> </w:t>
      </w:r>
      <w:proofErr w:type="spellStart"/>
      <w:r w:rsidR="00155293" w:rsidRPr="004E64DB">
        <w:rPr>
          <w:rFonts w:ascii="Garamond" w:hAnsi="Garamond"/>
          <w:i/>
          <w:iCs/>
          <w:sz w:val="20"/>
          <w:szCs w:val="20"/>
        </w:rPr>
        <w:t>Espacio</w:t>
      </w:r>
      <w:proofErr w:type="spellEnd"/>
      <w:r w:rsidR="00155293" w:rsidRPr="004E64DB">
        <w:rPr>
          <w:rFonts w:ascii="Garamond" w:hAnsi="Garamond"/>
          <w:i/>
          <w:iCs/>
          <w:sz w:val="20"/>
          <w:szCs w:val="20"/>
        </w:rPr>
        <w:t xml:space="preserve"> </w:t>
      </w:r>
      <w:proofErr w:type="spellStart"/>
      <w:r w:rsidR="00155293" w:rsidRPr="004E64DB">
        <w:rPr>
          <w:rFonts w:ascii="Garamond" w:hAnsi="Garamond"/>
          <w:i/>
          <w:iCs/>
          <w:sz w:val="20"/>
          <w:szCs w:val="20"/>
        </w:rPr>
        <w:t>Iberoamericano</w:t>
      </w:r>
      <w:proofErr w:type="spellEnd"/>
      <w:r w:rsidR="00155293" w:rsidRPr="004E64DB">
        <w:rPr>
          <w:rFonts w:ascii="Garamond" w:hAnsi="Garamond"/>
          <w:i/>
          <w:iCs/>
          <w:sz w:val="20"/>
          <w:szCs w:val="20"/>
        </w:rPr>
        <w:t xml:space="preserve"> de </w:t>
      </w:r>
      <w:proofErr w:type="spellStart"/>
      <w:r w:rsidR="00155293" w:rsidRPr="004E64DB">
        <w:rPr>
          <w:rFonts w:ascii="Garamond" w:hAnsi="Garamond"/>
          <w:i/>
          <w:iCs/>
          <w:sz w:val="20"/>
          <w:szCs w:val="20"/>
        </w:rPr>
        <w:t>Cooperación</w:t>
      </w:r>
      <w:proofErr w:type="spellEnd"/>
      <w:r w:rsidR="00155293" w:rsidRPr="004E64DB">
        <w:rPr>
          <w:rFonts w:ascii="Garamond" w:hAnsi="Garamond"/>
          <w:i/>
          <w:iCs/>
          <w:sz w:val="20"/>
          <w:szCs w:val="20"/>
        </w:rPr>
        <w:t xml:space="preserve"> e </w:t>
      </w:r>
      <w:proofErr w:type="spellStart"/>
      <w:r w:rsidR="00155293" w:rsidRPr="004E64DB">
        <w:rPr>
          <w:rFonts w:ascii="Garamond" w:hAnsi="Garamond"/>
          <w:i/>
          <w:iCs/>
          <w:sz w:val="20"/>
          <w:szCs w:val="20"/>
        </w:rPr>
        <w:t>Integración</w:t>
      </w:r>
      <w:proofErr w:type="spellEnd"/>
      <w:r w:rsidR="00155293" w:rsidRPr="004E64DB">
        <w:rPr>
          <w:rFonts w:ascii="Garamond" w:hAnsi="Garamond"/>
          <w:i/>
          <w:iCs/>
          <w:sz w:val="20"/>
          <w:szCs w:val="20"/>
        </w:rPr>
        <w:t xml:space="preserve">: </w:t>
      </w:r>
      <w:proofErr w:type="spellStart"/>
      <w:r w:rsidR="00155293" w:rsidRPr="004E64DB">
        <w:rPr>
          <w:rFonts w:ascii="Garamond" w:hAnsi="Garamond"/>
          <w:i/>
          <w:iCs/>
          <w:sz w:val="20"/>
          <w:szCs w:val="20"/>
        </w:rPr>
        <w:t>Comercio</w:t>
      </w:r>
      <w:proofErr w:type="spellEnd"/>
      <w:r w:rsidR="00155293" w:rsidRPr="004E64DB">
        <w:rPr>
          <w:rFonts w:ascii="Garamond" w:hAnsi="Garamond"/>
          <w:i/>
          <w:iCs/>
          <w:sz w:val="20"/>
          <w:szCs w:val="20"/>
        </w:rPr>
        <w:t xml:space="preserve">, Cultura y </w:t>
      </w:r>
      <w:proofErr w:type="spellStart"/>
      <w:r w:rsidR="00155293" w:rsidRPr="004E64DB">
        <w:rPr>
          <w:rFonts w:ascii="Garamond" w:hAnsi="Garamond"/>
          <w:i/>
          <w:iCs/>
          <w:sz w:val="20"/>
          <w:szCs w:val="20"/>
        </w:rPr>
        <w:t>Desarrollo</w:t>
      </w:r>
      <w:proofErr w:type="spellEnd"/>
      <w:r w:rsidR="00155293" w:rsidRPr="004E64DB">
        <w:rPr>
          <w:rFonts w:ascii="Garamond" w:hAnsi="Garamond"/>
          <w:i/>
          <w:iCs/>
          <w:sz w:val="20"/>
          <w:szCs w:val="20"/>
        </w:rPr>
        <w:t xml:space="preserve">, </w:t>
      </w:r>
      <w:r w:rsidR="00155293" w:rsidRPr="004E64DB">
        <w:rPr>
          <w:rFonts w:ascii="Garamond" w:hAnsi="Garamond"/>
          <w:sz w:val="20"/>
          <w:szCs w:val="20"/>
        </w:rPr>
        <w:t>Centre d’</w:t>
      </w:r>
      <w:proofErr w:type="spellStart"/>
      <w:r w:rsidR="00155293" w:rsidRPr="004E64DB">
        <w:rPr>
          <w:rFonts w:ascii="Garamond" w:hAnsi="Garamond"/>
          <w:sz w:val="20"/>
          <w:szCs w:val="20"/>
        </w:rPr>
        <w:t>études</w:t>
      </w:r>
      <w:proofErr w:type="spellEnd"/>
      <w:r w:rsidR="00155293" w:rsidRPr="004E64DB">
        <w:rPr>
          <w:rFonts w:ascii="Garamond" w:hAnsi="Garamond"/>
          <w:sz w:val="20"/>
          <w:szCs w:val="20"/>
        </w:rPr>
        <w:t xml:space="preserve"> </w:t>
      </w:r>
      <w:proofErr w:type="spellStart"/>
      <w:r w:rsidR="00155293" w:rsidRPr="004E64DB">
        <w:rPr>
          <w:rFonts w:ascii="Garamond" w:hAnsi="Garamond"/>
          <w:sz w:val="20"/>
          <w:szCs w:val="20"/>
        </w:rPr>
        <w:t>Ibéro-américaines</w:t>
      </w:r>
      <w:proofErr w:type="spellEnd"/>
      <w:r w:rsidR="00155293" w:rsidRPr="004E64DB">
        <w:rPr>
          <w:rFonts w:ascii="Garamond" w:hAnsi="Garamond"/>
          <w:sz w:val="20"/>
          <w:szCs w:val="20"/>
        </w:rPr>
        <w:t xml:space="preserve"> de l’</w:t>
      </w:r>
      <w:proofErr w:type="spellStart"/>
      <w:r w:rsidR="00155293" w:rsidRPr="004E64DB">
        <w:rPr>
          <w:rFonts w:ascii="Garamond" w:hAnsi="Garamond"/>
          <w:sz w:val="20"/>
          <w:szCs w:val="20"/>
        </w:rPr>
        <w:t>Universite</w:t>
      </w:r>
      <w:proofErr w:type="spellEnd"/>
      <w:r w:rsidR="00155293" w:rsidRPr="004E64DB">
        <w:rPr>
          <w:rFonts w:ascii="Garamond" w:hAnsi="Garamond"/>
          <w:sz w:val="20"/>
          <w:szCs w:val="20"/>
        </w:rPr>
        <w:t>́ Rey Juan Carlos de Madrid et de l’</w:t>
      </w:r>
      <w:proofErr w:type="spellStart"/>
      <w:r w:rsidR="00155293" w:rsidRPr="004E64DB">
        <w:rPr>
          <w:rFonts w:ascii="Garamond" w:hAnsi="Garamond"/>
          <w:sz w:val="20"/>
          <w:szCs w:val="20"/>
        </w:rPr>
        <w:t>Universite</w:t>
      </w:r>
      <w:proofErr w:type="spellEnd"/>
      <w:r w:rsidR="00155293" w:rsidRPr="004E64DB">
        <w:rPr>
          <w:rFonts w:ascii="Garamond" w:hAnsi="Garamond"/>
          <w:sz w:val="20"/>
          <w:szCs w:val="20"/>
        </w:rPr>
        <w:t xml:space="preserve">́ de la Havane, </w:t>
      </w:r>
      <w:proofErr w:type="spellStart"/>
      <w:r w:rsidR="00155293" w:rsidRPr="004E64DB">
        <w:rPr>
          <w:rFonts w:ascii="Garamond" w:hAnsi="Garamond"/>
          <w:sz w:val="20"/>
          <w:szCs w:val="20"/>
        </w:rPr>
        <w:t>Marcial</w:t>
      </w:r>
      <w:proofErr w:type="spellEnd"/>
      <w:r w:rsidR="00155293" w:rsidRPr="004E64DB">
        <w:rPr>
          <w:rFonts w:ascii="Garamond" w:hAnsi="Garamond"/>
          <w:sz w:val="20"/>
          <w:szCs w:val="20"/>
        </w:rPr>
        <w:t xml:space="preserve"> Pons, 2009, 419 p. </w:t>
      </w:r>
      <w:proofErr w:type="spellStart"/>
      <w:r w:rsidR="00155293" w:rsidRPr="004E64DB">
        <w:rPr>
          <w:rFonts w:ascii="Garamond" w:hAnsi="Garamond"/>
          <w:sz w:val="20"/>
          <w:szCs w:val="20"/>
        </w:rPr>
        <w:t>Rédaction</w:t>
      </w:r>
      <w:proofErr w:type="spellEnd"/>
      <w:r w:rsidR="00155293" w:rsidRPr="004E64DB">
        <w:rPr>
          <w:rFonts w:ascii="Garamond" w:hAnsi="Garamond"/>
          <w:sz w:val="20"/>
          <w:szCs w:val="20"/>
        </w:rPr>
        <w:t xml:space="preserve"> des </w:t>
      </w:r>
      <w:proofErr w:type="spellStart"/>
      <w:r w:rsidR="00155293" w:rsidRPr="004E64DB">
        <w:rPr>
          <w:rFonts w:ascii="Garamond" w:hAnsi="Garamond"/>
          <w:sz w:val="20"/>
          <w:szCs w:val="20"/>
        </w:rPr>
        <w:t>références</w:t>
      </w:r>
      <w:proofErr w:type="spellEnd"/>
      <w:r w:rsidR="00155293" w:rsidRPr="004E64DB">
        <w:rPr>
          <w:rFonts w:ascii="Garamond" w:hAnsi="Garamond"/>
          <w:sz w:val="20"/>
          <w:szCs w:val="20"/>
        </w:rPr>
        <w:t xml:space="preserve"> suivantes : article XXIV du G.A.T.T. (pp. 61-62), aide publique au </w:t>
      </w:r>
      <w:proofErr w:type="spellStart"/>
      <w:r w:rsidR="00155293" w:rsidRPr="004E64DB">
        <w:rPr>
          <w:rFonts w:ascii="Garamond" w:hAnsi="Garamond"/>
          <w:sz w:val="20"/>
          <w:szCs w:val="20"/>
        </w:rPr>
        <w:t>développement</w:t>
      </w:r>
      <w:proofErr w:type="spellEnd"/>
      <w:r w:rsidR="00155293" w:rsidRPr="004E64DB">
        <w:rPr>
          <w:rFonts w:ascii="Garamond" w:hAnsi="Garamond"/>
          <w:sz w:val="20"/>
          <w:szCs w:val="20"/>
        </w:rPr>
        <w:t xml:space="preserve"> (pp. 68-69), aide à l’alimentation (pp. 73-75) et G.A.T.T. (pp. 268- 269). </w:t>
      </w:r>
    </w:p>
    <w:p w14:paraId="62DF8AF3" w14:textId="1B0E6E05" w:rsidR="00F03C03" w:rsidRDefault="00F03C03" w:rsidP="004E64DB">
      <w:pPr>
        <w:spacing w:before="100" w:beforeAutospacing="1" w:after="100" w:afterAutospacing="1"/>
        <w:jc w:val="both"/>
        <w:rPr>
          <w:rFonts w:ascii="Garamond" w:hAnsi="Garamond"/>
          <w:sz w:val="20"/>
          <w:szCs w:val="20"/>
          <w:u w:val="single"/>
        </w:rPr>
      </w:pPr>
      <w:r w:rsidRPr="004E64DB">
        <w:rPr>
          <w:rFonts w:ascii="Garamond" w:hAnsi="Garamond"/>
          <w:sz w:val="20"/>
          <w:szCs w:val="20"/>
          <w:u w:val="single"/>
        </w:rPr>
        <w:t>Chroniques de faits internationaux</w:t>
      </w:r>
    </w:p>
    <w:p w14:paraId="139F69F8" w14:textId="1F4AF9C4" w:rsidR="00BA01ED" w:rsidRPr="00BA01ED" w:rsidRDefault="00BA01ED" w:rsidP="004E64DB">
      <w:pPr>
        <w:spacing w:before="100" w:beforeAutospacing="1" w:after="100" w:afterAutospacing="1"/>
        <w:jc w:val="both"/>
        <w:rPr>
          <w:rFonts w:ascii="Garamond" w:hAnsi="Garamond"/>
          <w:sz w:val="20"/>
          <w:szCs w:val="20"/>
        </w:rPr>
      </w:pPr>
      <w:r w:rsidRPr="00BA01ED">
        <w:rPr>
          <w:rFonts w:ascii="Garamond" w:hAnsi="Garamond"/>
          <w:sz w:val="20"/>
          <w:szCs w:val="20"/>
        </w:rPr>
        <w:t>30.</w:t>
      </w:r>
      <w:r w:rsidRPr="00BA01ED">
        <w:rPr>
          <w:rFonts w:ascii="Garamond" w:hAnsi="Garamond" w:cstheme="minorHAnsi"/>
          <w:smallCaps/>
          <w:sz w:val="20"/>
          <w:szCs w:val="20"/>
        </w:rPr>
        <w:t xml:space="preserve"> </w:t>
      </w:r>
      <w:r w:rsidRPr="00BA01ED">
        <w:rPr>
          <w:rFonts w:ascii="Garamond" w:hAnsi="Garamond" w:cstheme="minorHAnsi"/>
          <w:smallCaps/>
          <w:sz w:val="16"/>
          <w:szCs w:val="16"/>
        </w:rPr>
        <w:t>forum des iles pacifique (</w:t>
      </w:r>
      <w:proofErr w:type="spellStart"/>
      <w:r w:rsidRPr="00BA01ED">
        <w:rPr>
          <w:rFonts w:ascii="Garamond" w:hAnsi="Garamond" w:cstheme="minorHAnsi"/>
          <w:smallCaps/>
          <w:sz w:val="16"/>
          <w:szCs w:val="16"/>
        </w:rPr>
        <w:t>fip</w:t>
      </w:r>
      <w:proofErr w:type="spellEnd"/>
      <w:r w:rsidRPr="00BA01ED">
        <w:rPr>
          <w:rFonts w:ascii="Garamond" w:hAnsi="Garamond" w:cstheme="minorHAnsi"/>
          <w:smallCaps/>
          <w:sz w:val="16"/>
          <w:szCs w:val="16"/>
        </w:rPr>
        <w:t>)-</w:t>
      </w:r>
      <w:r w:rsidRPr="00BA01ED">
        <w:rPr>
          <w:rFonts w:ascii="Garamond" w:hAnsi="Garamond" w:cstheme="minorHAnsi"/>
          <w:smallCaps/>
          <w:sz w:val="20"/>
          <w:szCs w:val="20"/>
        </w:rPr>
        <w:t xml:space="preserve"> </w:t>
      </w:r>
      <w:r w:rsidRPr="00BA01ED">
        <w:rPr>
          <w:rFonts w:ascii="Garamond" w:hAnsi="Garamond" w:cstheme="minorHAnsi"/>
          <w:sz w:val="20"/>
          <w:szCs w:val="20"/>
        </w:rPr>
        <w:t xml:space="preserve">Déclaration sur la préservation des zones maritimes face à l’élévation du niveau de la mer, </w:t>
      </w:r>
      <w:r w:rsidRPr="00BA01ED">
        <w:rPr>
          <w:rFonts w:ascii="Garamond" w:hAnsi="Garamond" w:cstheme="minorHAnsi"/>
          <w:i/>
          <w:iCs/>
          <w:sz w:val="20"/>
          <w:szCs w:val="20"/>
        </w:rPr>
        <w:t>RGDIP</w:t>
      </w:r>
      <w:r w:rsidR="0078092B">
        <w:rPr>
          <w:rFonts w:ascii="Garamond" w:hAnsi="Garamond" w:cstheme="minorHAnsi"/>
          <w:i/>
          <w:iCs/>
          <w:sz w:val="20"/>
          <w:szCs w:val="20"/>
        </w:rPr>
        <w:t xml:space="preserve"> </w:t>
      </w:r>
      <w:r w:rsidR="0078092B">
        <w:rPr>
          <w:rFonts w:ascii="Garamond" w:hAnsi="Garamond" w:cstheme="minorHAnsi"/>
          <w:sz w:val="20"/>
          <w:szCs w:val="20"/>
        </w:rPr>
        <w:t>2021</w:t>
      </w:r>
      <w:r w:rsidRPr="00BA01ED">
        <w:rPr>
          <w:rFonts w:ascii="Garamond" w:hAnsi="Garamond" w:cstheme="minorHAnsi"/>
          <w:sz w:val="20"/>
          <w:szCs w:val="20"/>
        </w:rPr>
        <w:t>-4, pp. 803-805.</w:t>
      </w:r>
    </w:p>
    <w:p w14:paraId="3CF07254" w14:textId="213DB31A" w:rsidR="00BA01ED" w:rsidRPr="00BA01ED" w:rsidRDefault="00BA01ED" w:rsidP="004E64DB">
      <w:pPr>
        <w:spacing w:before="100" w:beforeAutospacing="1" w:after="100" w:afterAutospacing="1"/>
        <w:jc w:val="both"/>
        <w:rPr>
          <w:rFonts w:ascii="Garamond" w:hAnsi="Garamond"/>
          <w:sz w:val="20"/>
          <w:szCs w:val="20"/>
          <w:u w:val="single"/>
        </w:rPr>
      </w:pPr>
      <w:r w:rsidRPr="00BA01ED">
        <w:rPr>
          <w:rFonts w:ascii="Garamond" w:hAnsi="Garamond"/>
          <w:sz w:val="20"/>
          <w:szCs w:val="20"/>
        </w:rPr>
        <w:t xml:space="preserve">29. </w:t>
      </w:r>
      <w:proofErr w:type="spellStart"/>
      <w:r w:rsidRPr="00BA01ED">
        <w:rPr>
          <w:rFonts w:ascii="Garamond" w:hAnsi="Garamond" w:cstheme="minorHAnsi"/>
          <w:smallCaps/>
          <w:sz w:val="16"/>
          <w:szCs w:val="16"/>
        </w:rPr>
        <w:t>australie</w:t>
      </w:r>
      <w:proofErr w:type="spellEnd"/>
      <w:r w:rsidRPr="00BA01ED">
        <w:rPr>
          <w:rFonts w:ascii="Garamond" w:hAnsi="Garamond" w:cstheme="minorHAnsi"/>
          <w:smallCaps/>
          <w:sz w:val="16"/>
          <w:szCs w:val="16"/>
        </w:rPr>
        <w:t>-</w:t>
      </w:r>
      <w:proofErr w:type="spellStart"/>
      <w:r w:rsidRPr="00BA01ED">
        <w:rPr>
          <w:rFonts w:ascii="Garamond" w:hAnsi="Garamond" w:cstheme="minorHAnsi"/>
          <w:smallCaps/>
          <w:sz w:val="16"/>
          <w:szCs w:val="16"/>
        </w:rPr>
        <w:t>etats</w:t>
      </w:r>
      <w:proofErr w:type="spellEnd"/>
      <w:r w:rsidRPr="00BA01ED">
        <w:rPr>
          <w:rFonts w:ascii="Garamond" w:hAnsi="Garamond" w:cstheme="minorHAnsi"/>
          <w:smallCaps/>
          <w:sz w:val="16"/>
          <w:szCs w:val="16"/>
        </w:rPr>
        <w:t>-unis-France-Royaume-Uni</w:t>
      </w:r>
      <w:r w:rsidRPr="00BA01ED">
        <w:rPr>
          <w:rFonts w:ascii="Garamond" w:hAnsi="Garamond" w:cstheme="minorHAnsi"/>
          <w:smallCaps/>
          <w:sz w:val="20"/>
          <w:szCs w:val="20"/>
        </w:rPr>
        <w:t xml:space="preserve">- </w:t>
      </w:r>
      <w:r w:rsidRPr="00BA01ED">
        <w:rPr>
          <w:rFonts w:ascii="Garamond" w:hAnsi="Garamond" w:cstheme="minorHAnsi"/>
          <w:sz w:val="20"/>
          <w:szCs w:val="20"/>
        </w:rPr>
        <w:t xml:space="preserve">Crise des sous-marins, </w:t>
      </w:r>
      <w:r w:rsidRPr="00BA01ED">
        <w:rPr>
          <w:rFonts w:ascii="Garamond" w:hAnsi="Garamond" w:cstheme="minorHAnsi"/>
          <w:i/>
          <w:iCs/>
          <w:sz w:val="20"/>
          <w:szCs w:val="20"/>
        </w:rPr>
        <w:t>RGDIP</w:t>
      </w:r>
      <w:r w:rsidRPr="00BA01ED">
        <w:rPr>
          <w:rFonts w:ascii="Garamond" w:hAnsi="Garamond" w:cstheme="minorHAnsi"/>
          <w:sz w:val="20"/>
          <w:szCs w:val="20"/>
        </w:rPr>
        <w:t xml:space="preserve"> 202</w:t>
      </w:r>
      <w:r w:rsidR="0078092B">
        <w:rPr>
          <w:rFonts w:ascii="Garamond" w:hAnsi="Garamond" w:cstheme="minorHAnsi"/>
          <w:sz w:val="20"/>
          <w:szCs w:val="20"/>
        </w:rPr>
        <w:t>1</w:t>
      </w:r>
      <w:r w:rsidRPr="00BA01ED">
        <w:rPr>
          <w:rFonts w:ascii="Garamond" w:hAnsi="Garamond" w:cstheme="minorHAnsi"/>
          <w:sz w:val="20"/>
          <w:szCs w:val="20"/>
        </w:rPr>
        <w:t>-4, pp. 785-787.</w:t>
      </w:r>
    </w:p>
    <w:p w14:paraId="0C739AFB" w14:textId="1694E5BD" w:rsidR="00745686" w:rsidRPr="004E64DB" w:rsidRDefault="002F3C95" w:rsidP="004E64DB">
      <w:pPr>
        <w:jc w:val="both"/>
        <w:rPr>
          <w:rFonts w:ascii="Garamond" w:hAnsi="Garamond" w:cstheme="minorHAnsi"/>
          <w:smallCaps/>
          <w:sz w:val="20"/>
          <w:szCs w:val="20"/>
        </w:rPr>
      </w:pPr>
      <w:r>
        <w:rPr>
          <w:rFonts w:ascii="Garamond" w:hAnsi="Garamond" w:cstheme="minorHAnsi"/>
          <w:smallCaps/>
          <w:sz w:val="20"/>
          <w:szCs w:val="20"/>
        </w:rPr>
        <w:t>2</w:t>
      </w:r>
      <w:r w:rsidR="004846F6">
        <w:rPr>
          <w:rFonts w:ascii="Garamond" w:hAnsi="Garamond" w:cstheme="minorHAnsi"/>
          <w:smallCaps/>
          <w:sz w:val="20"/>
          <w:szCs w:val="20"/>
        </w:rPr>
        <w:t>8</w:t>
      </w:r>
      <w:r>
        <w:rPr>
          <w:rFonts w:ascii="Garamond" w:hAnsi="Garamond" w:cstheme="minorHAnsi"/>
          <w:smallCaps/>
          <w:sz w:val="20"/>
          <w:szCs w:val="20"/>
        </w:rPr>
        <w:t xml:space="preserve">. </w:t>
      </w:r>
      <w:proofErr w:type="spellStart"/>
      <w:r w:rsidR="00C85E30" w:rsidRPr="002F3C95">
        <w:rPr>
          <w:rFonts w:ascii="Garamond" w:hAnsi="Garamond" w:cstheme="minorHAnsi"/>
          <w:smallCaps/>
          <w:sz w:val="16"/>
          <w:szCs w:val="16"/>
        </w:rPr>
        <w:t>etats</w:t>
      </w:r>
      <w:proofErr w:type="spellEnd"/>
      <w:r w:rsidR="00C85E30" w:rsidRPr="002F3C95">
        <w:rPr>
          <w:rFonts w:ascii="Garamond" w:hAnsi="Garamond" w:cstheme="minorHAnsi"/>
          <w:smallCaps/>
          <w:sz w:val="16"/>
          <w:szCs w:val="16"/>
        </w:rPr>
        <w:t xml:space="preserve"> insulaires du pacifique</w:t>
      </w:r>
      <w:r w:rsidR="00745686" w:rsidRPr="004E64DB">
        <w:rPr>
          <w:rFonts w:ascii="Garamond" w:hAnsi="Garamond" w:cstheme="minorHAnsi"/>
          <w:smallCaps/>
          <w:sz w:val="20"/>
          <w:szCs w:val="20"/>
        </w:rPr>
        <w:t>-</w:t>
      </w:r>
      <w:r w:rsidR="00745686" w:rsidRPr="004E64DB">
        <w:rPr>
          <w:rFonts w:ascii="Garamond" w:hAnsi="Garamond" w:cstheme="minorHAnsi"/>
          <w:sz w:val="20"/>
          <w:szCs w:val="20"/>
        </w:rPr>
        <w:t xml:space="preserve">Retraits en chaîne des </w:t>
      </w:r>
      <w:proofErr w:type="spellStart"/>
      <w:r w:rsidR="00745686" w:rsidRPr="004E64DB">
        <w:rPr>
          <w:rFonts w:ascii="Garamond" w:hAnsi="Garamond" w:cstheme="minorHAnsi"/>
          <w:sz w:val="20"/>
          <w:szCs w:val="20"/>
        </w:rPr>
        <w:t>Etats</w:t>
      </w:r>
      <w:proofErr w:type="spellEnd"/>
      <w:r w:rsidR="00745686" w:rsidRPr="004E64DB">
        <w:rPr>
          <w:rFonts w:ascii="Garamond" w:hAnsi="Garamond" w:cstheme="minorHAnsi"/>
          <w:sz w:val="20"/>
          <w:szCs w:val="20"/>
        </w:rPr>
        <w:t xml:space="preserve"> micronésiens du Forum des îles du Pacifique : le signe d’une crise </w:t>
      </w:r>
      <w:proofErr w:type="gramStart"/>
      <w:r w:rsidR="00745686" w:rsidRPr="004E64DB">
        <w:rPr>
          <w:rFonts w:ascii="Garamond" w:hAnsi="Garamond" w:cstheme="minorHAnsi"/>
          <w:sz w:val="20"/>
          <w:szCs w:val="20"/>
        </w:rPr>
        <w:t>régionale ?,</w:t>
      </w:r>
      <w:proofErr w:type="gramEnd"/>
      <w:r w:rsidR="00745686" w:rsidRPr="004E64DB">
        <w:rPr>
          <w:rFonts w:ascii="Garamond" w:hAnsi="Garamond" w:cstheme="minorHAnsi"/>
          <w:sz w:val="20"/>
          <w:szCs w:val="20"/>
        </w:rPr>
        <w:t xml:space="preserve"> </w:t>
      </w:r>
      <w:r w:rsidR="00745686" w:rsidRPr="004846F6">
        <w:rPr>
          <w:rFonts w:ascii="Garamond" w:hAnsi="Garamond" w:cstheme="minorHAnsi"/>
          <w:i/>
          <w:iCs/>
          <w:sz w:val="20"/>
          <w:szCs w:val="20"/>
        </w:rPr>
        <w:t>RGDIP</w:t>
      </w:r>
      <w:r w:rsidR="00745686" w:rsidRPr="004E64DB">
        <w:rPr>
          <w:rFonts w:ascii="Garamond" w:hAnsi="Garamond" w:cstheme="minorHAnsi"/>
          <w:sz w:val="20"/>
          <w:szCs w:val="20"/>
        </w:rPr>
        <w:t xml:space="preserve"> 2021</w:t>
      </w:r>
      <w:r w:rsidR="00BA01ED">
        <w:rPr>
          <w:rFonts w:ascii="Garamond" w:hAnsi="Garamond" w:cstheme="minorHAnsi"/>
          <w:sz w:val="20"/>
          <w:szCs w:val="20"/>
        </w:rPr>
        <w:t>-</w:t>
      </w:r>
      <w:r w:rsidR="00745686" w:rsidRPr="004E64DB">
        <w:rPr>
          <w:rFonts w:ascii="Garamond" w:hAnsi="Garamond" w:cstheme="minorHAnsi"/>
          <w:sz w:val="20"/>
          <w:szCs w:val="20"/>
        </w:rPr>
        <w:t>2</w:t>
      </w:r>
      <w:r w:rsidR="003D6E36">
        <w:rPr>
          <w:rFonts w:ascii="Garamond" w:hAnsi="Garamond" w:cstheme="minorHAnsi"/>
          <w:sz w:val="20"/>
          <w:szCs w:val="20"/>
        </w:rPr>
        <w:t xml:space="preserve">, </w:t>
      </w:r>
      <w:r w:rsidR="009B4ECA">
        <w:rPr>
          <w:rFonts w:ascii="Garamond" w:hAnsi="Garamond" w:cstheme="minorHAnsi"/>
          <w:sz w:val="20"/>
          <w:szCs w:val="20"/>
        </w:rPr>
        <w:t>pp. 328-329</w:t>
      </w:r>
      <w:r w:rsidR="00745686" w:rsidRPr="004E64DB">
        <w:rPr>
          <w:rFonts w:ascii="Garamond" w:hAnsi="Garamond" w:cstheme="minorHAnsi"/>
          <w:sz w:val="20"/>
          <w:szCs w:val="20"/>
        </w:rPr>
        <w:t>.</w:t>
      </w:r>
    </w:p>
    <w:p w14:paraId="4A0D48E1" w14:textId="360CB46C" w:rsidR="00745686" w:rsidRPr="004E64DB" w:rsidRDefault="002F3C95" w:rsidP="004E64DB">
      <w:pPr>
        <w:jc w:val="both"/>
        <w:rPr>
          <w:rFonts w:ascii="Garamond" w:hAnsi="Garamond" w:cstheme="minorHAnsi"/>
          <w:smallCaps/>
          <w:sz w:val="20"/>
          <w:szCs w:val="20"/>
        </w:rPr>
      </w:pPr>
      <w:r>
        <w:rPr>
          <w:rFonts w:ascii="Garamond" w:hAnsi="Garamond" w:cstheme="minorHAnsi"/>
          <w:smallCaps/>
          <w:sz w:val="20"/>
          <w:szCs w:val="20"/>
        </w:rPr>
        <w:t>2</w:t>
      </w:r>
      <w:r w:rsidR="004846F6">
        <w:rPr>
          <w:rFonts w:ascii="Garamond" w:hAnsi="Garamond" w:cstheme="minorHAnsi"/>
          <w:smallCaps/>
          <w:sz w:val="20"/>
          <w:szCs w:val="20"/>
        </w:rPr>
        <w:t>7</w:t>
      </w:r>
      <w:r>
        <w:rPr>
          <w:rFonts w:ascii="Garamond" w:hAnsi="Garamond" w:cstheme="minorHAnsi"/>
          <w:smallCaps/>
          <w:sz w:val="20"/>
          <w:szCs w:val="20"/>
        </w:rPr>
        <w:t xml:space="preserve">. </w:t>
      </w:r>
      <w:proofErr w:type="spellStart"/>
      <w:r w:rsidR="00C85E30" w:rsidRPr="002F3C95">
        <w:rPr>
          <w:rFonts w:ascii="Garamond" w:hAnsi="Garamond" w:cstheme="minorHAnsi"/>
          <w:smallCaps/>
          <w:sz w:val="16"/>
          <w:szCs w:val="16"/>
        </w:rPr>
        <w:t>grece</w:t>
      </w:r>
      <w:proofErr w:type="spellEnd"/>
      <w:r w:rsidR="00C85E30" w:rsidRPr="002F3C95">
        <w:rPr>
          <w:rFonts w:ascii="Garamond" w:hAnsi="Garamond" w:cstheme="minorHAnsi"/>
          <w:smallCaps/>
          <w:sz w:val="16"/>
          <w:szCs w:val="16"/>
        </w:rPr>
        <w:t>/</w:t>
      </w:r>
      <w:proofErr w:type="spellStart"/>
      <w:r w:rsidR="00C85E30" w:rsidRPr="002F3C95">
        <w:rPr>
          <w:rFonts w:ascii="Garamond" w:hAnsi="Garamond" w:cstheme="minorHAnsi"/>
          <w:smallCaps/>
          <w:sz w:val="16"/>
          <w:szCs w:val="16"/>
        </w:rPr>
        <w:t>turquie</w:t>
      </w:r>
      <w:proofErr w:type="spellEnd"/>
      <w:r w:rsidR="00745686" w:rsidRPr="004E64DB">
        <w:rPr>
          <w:rFonts w:ascii="Garamond" w:hAnsi="Garamond" w:cstheme="minorHAnsi"/>
          <w:smallCaps/>
          <w:sz w:val="20"/>
          <w:szCs w:val="20"/>
        </w:rPr>
        <w:t>-</w:t>
      </w:r>
      <w:r w:rsidR="00745686" w:rsidRPr="004E64DB">
        <w:rPr>
          <w:rFonts w:ascii="Garamond" w:hAnsi="Garamond" w:cstheme="minorHAnsi"/>
          <w:sz w:val="20"/>
          <w:szCs w:val="20"/>
        </w:rPr>
        <w:t xml:space="preserve">Discussions relatives à l’exploitation des hydrocarbures en Méditerranée orientale, </w:t>
      </w:r>
      <w:r w:rsidR="00745686" w:rsidRPr="004846F6">
        <w:rPr>
          <w:rFonts w:ascii="Garamond" w:hAnsi="Garamond" w:cstheme="minorHAnsi"/>
          <w:i/>
          <w:iCs/>
          <w:sz w:val="20"/>
          <w:szCs w:val="20"/>
        </w:rPr>
        <w:t xml:space="preserve">RGDIP </w:t>
      </w:r>
      <w:r w:rsidR="00745686" w:rsidRPr="004E64DB">
        <w:rPr>
          <w:rFonts w:ascii="Garamond" w:hAnsi="Garamond" w:cstheme="minorHAnsi"/>
          <w:sz w:val="20"/>
          <w:szCs w:val="20"/>
        </w:rPr>
        <w:t>2021/2</w:t>
      </w:r>
      <w:r w:rsidR="009B4ECA">
        <w:rPr>
          <w:rFonts w:ascii="Garamond" w:hAnsi="Garamond" w:cstheme="minorHAnsi"/>
          <w:sz w:val="20"/>
          <w:szCs w:val="20"/>
        </w:rPr>
        <w:t>, pp. 350-355</w:t>
      </w:r>
      <w:r w:rsidR="00745686" w:rsidRPr="004E64DB">
        <w:rPr>
          <w:rFonts w:ascii="Garamond" w:hAnsi="Garamond" w:cstheme="minorHAnsi"/>
          <w:sz w:val="20"/>
          <w:szCs w:val="20"/>
        </w:rPr>
        <w:t>.</w:t>
      </w:r>
    </w:p>
    <w:p w14:paraId="31939120" w14:textId="589FF65E" w:rsidR="00F03C03" w:rsidRDefault="00F03C03" w:rsidP="002F3C95">
      <w:pPr>
        <w:jc w:val="both"/>
        <w:rPr>
          <w:rFonts w:ascii="Garamond" w:hAnsi="Garamond"/>
          <w:sz w:val="20"/>
          <w:szCs w:val="20"/>
          <w:u w:val="single"/>
        </w:rPr>
      </w:pPr>
      <w:r w:rsidRPr="004E64DB">
        <w:rPr>
          <w:rFonts w:ascii="Garamond" w:hAnsi="Garamond"/>
          <w:sz w:val="20"/>
          <w:szCs w:val="20"/>
          <w:u w:val="single"/>
        </w:rPr>
        <w:t>Not</w:t>
      </w:r>
      <w:r w:rsidR="00FE4441" w:rsidRPr="004E64DB">
        <w:rPr>
          <w:rFonts w:ascii="Garamond" w:hAnsi="Garamond"/>
          <w:sz w:val="20"/>
          <w:szCs w:val="20"/>
          <w:u w:val="single"/>
        </w:rPr>
        <w:t>es</w:t>
      </w:r>
      <w:r w:rsidRPr="004E64DB">
        <w:rPr>
          <w:rFonts w:ascii="Garamond" w:hAnsi="Garamond"/>
          <w:sz w:val="20"/>
          <w:szCs w:val="20"/>
          <w:u w:val="single"/>
        </w:rPr>
        <w:t xml:space="preserve"> de jurisprudence</w:t>
      </w:r>
    </w:p>
    <w:p w14:paraId="0BBB497F" w14:textId="77777777" w:rsidR="002F3C95" w:rsidRPr="004E64DB" w:rsidRDefault="002F3C95" w:rsidP="002F3C95">
      <w:pPr>
        <w:jc w:val="both"/>
        <w:rPr>
          <w:rFonts w:ascii="Garamond" w:hAnsi="Garamond"/>
          <w:sz w:val="20"/>
          <w:szCs w:val="20"/>
          <w:u w:val="single"/>
        </w:rPr>
      </w:pPr>
    </w:p>
    <w:p w14:paraId="447A8C2F" w14:textId="067D8F4C" w:rsidR="00C85E30" w:rsidRDefault="00B60C76" w:rsidP="002F3C95">
      <w:pPr>
        <w:jc w:val="both"/>
        <w:rPr>
          <w:rFonts w:ascii="Garamond" w:hAnsi="Garamond"/>
          <w:color w:val="101010"/>
          <w:sz w:val="20"/>
          <w:szCs w:val="20"/>
          <w:bdr w:val="none" w:sz="0" w:space="0" w:color="auto" w:frame="1"/>
        </w:rPr>
      </w:pPr>
      <w:r>
        <w:rPr>
          <w:rFonts w:ascii="Garamond" w:hAnsi="Garamond"/>
          <w:smallCaps/>
          <w:sz w:val="20"/>
          <w:szCs w:val="20"/>
        </w:rPr>
        <w:t>2</w:t>
      </w:r>
      <w:r w:rsidR="004846F6">
        <w:rPr>
          <w:rFonts w:ascii="Garamond" w:hAnsi="Garamond"/>
          <w:smallCaps/>
          <w:sz w:val="20"/>
          <w:szCs w:val="20"/>
        </w:rPr>
        <w:t>6</w:t>
      </w:r>
      <w:r>
        <w:rPr>
          <w:rFonts w:ascii="Garamond" w:hAnsi="Garamond"/>
          <w:smallCaps/>
          <w:sz w:val="20"/>
          <w:szCs w:val="20"/>
        </w:rPr>
        <w:t xml:space="preserve">. </w:t>
      </w:r>
      <w:r w:rsidR="00745686" w:rsidRPr="00A652D8">
        <w:rPr>
          <w:rFonts w:ascii="Garamond" w:hAnsi="Garamond"/>
          <w:smallCaps/>
          <w:sz w:val="13"/>
          <w:szCs w:val="13"/>
        </w:rPr>
        <w:t>AUSTRALIE</w:t>
      </w:r>
      <w:r w:rsidR="00745686" w:rsidRPr="004E64DB">
        <w:rPr>
          <w:rFonts w:ascii="Garamond" w:hAnsi="Garamond"/>
          <w:sz w:val="20"/>
          <w:szCs w:val="20"/>
        </w:rPr>
        <w:t xml:space="preserve">. Cour fédérale, 27 mai 2021, </w:t>
      </w:r>
      <w:r w:rsidR="00745686" w:rsidRPr="004E64DB">
        <w:rPr>
          <w:rFonts w:ascii="Garamond" w:hAnsi="Garamond"/>
          <w:i/>
          <w:iCs/>
          <w:color w:val="101010"/>
          <w:sz w:val="20"/>
          <w:szCs w:val="20"/>
          <w:bdr w:val="none" w:sz="0" w:space="0" w:color="auto" w:frame="1"/>
        </w:rPr>
        <w:t xml:space="preserve">Sharma by </w:t>
      </w:r>
      <w:proofErr w:type="spellStart"/>
      <w:r w:rsidR="00745686" w:rsidRPr="004E64DB">
        <w:rPr>
          <w:rFonts w:ascii="Garamond" w:hAnsi="Garamond"/>
          <w:i/>
          <w:iCs/>
          <w:color w:val="101010"/>
          <w:sz w:val="20"/>
          <w:szCs w:val="20"/>
          <w:bdr w:val="none" w:sz="0" w:space="0" w:color="auto" w:frame="1"/>
        </w:rPr>
        <w:t>her</w:t>
      </w:r>
      <w:proofErr w:type="spellEnd"/>
      <w:r w:rsidR="00745686" w:rsidRPr="004E64DB">
        <w:rPr>
          <w:rFonts w:ascii="Garamond" w:hAnsi="Garamond"/>
          <w:i/>
          <w:iCs/>
          <w:color w:val="101010"/>
          <w:sz w:val="20"/>
          <w:szCs w:val="20"/>
          <w:bdr w:val="none" w:sz="0" w:space="0" w:color="auto" w:frame="1"/>
        </w:rPr>
        <w:t xml:space="preserve"> </w:t>
      </w:r>
      <w:proofErr w:type="spellStart"/>
      <w:r w:rsidR="00745686" w:rsidRPr="004E64DB">
        <w:rPr>
          <w:rFonts w:ascii="Garamond" w:hAnsi="Garamond"/>
          <w:i/>
          <w:iCs/>
          <w:color w:val="101010"/>
          <w:sz w:val="20"/>
          <w:szCs w:val="20"/>
          <w:bdr w:val="none" w:sz="0" w:space="0" w:color="auto" w:frame="1"/>
        </w:rPr>
        <w:t>litigation</w:t>
      </w:r>
      <w:proofErr w:type="spellEnd"/>
      <w:r w:rsidR="00745686" w:rsidRPr="004E64DB">
        <w:rPr>
          <w:rFonts w:ascii="Garamond" w:hAnsi="Garamond"/>
          <w:i/>
          <w:iCs/>
          <w:color w:val="101010"/>
          <w:sz w:val="20"/>
          <w:szCs w:val="20"/>
          <w:bdr w:val="none" w:sz="0" w:space="0" w:color="auto" w:frame="1"/>
        </w:rPr>
        <w:t xml:space="preserve"> </w:t>
      </w:r>
      <w:proofErr w:type="spellStart"/>
      <w:r w:rsidR="00745686" w:rsidRPr="004E64DB">
        <w:rPr>
          <w:rFonts w:ascii="Garamond" w:hAnsi="Garamond"/>
          <w:i/>
          <w:iCs/>
          <w:color w:val="101010"/>
          <w:sz w:val="20"/>
          <w:szCs w:val="20"/>
          <w:bdr w:val="none" w:sz="0" w:space="0" w:color="auto" w:frame="1"/>
        </w:rPr>
        <w:t>representative</w:t>
      </w:r>
      <w:proofErr w:type="spellEnd"/>
      <w:r w:rsidR="00745686" w:rsidRPr="004E64DB">
        <w:rPr>
          <w:rFonts w:ascii="Garamond" w:hAnsi="Garamond"/>
          <w:i/>
          <w:iCs/>
          <w:color w:val="101010"/>
          <w:sz w:val="20"/>
          <w:szCs w:val="20"/>
          <w:bdr w:val="none" w:sz="0" w:space="0" w:color="auto" w:frame="1"/>
        </w:rPr>
        <w:t xml:space="preserve"> Sister Marie </w:t>
      </w:r>
      <w:proofErr w:type="spellStart"/>
      <w:r w:rsidR="00745686" w:rsidRPr="004E64DB">
        <w:rPr>
          <w:rFonts w:ascii="Garamond" w:hAnsi="Garamond"/>
          <w:i/>
          <w:iCs/>
          <w:color w:val="101010"/>
          <w:sz w:val="20"/>
          <w:szCs w:val="20"/>
          <w:bdr w:val="none" w:sz="0" w:space="0" w:color="auto" w:frame="1"/>
        </w:rPr>
        <w:t>Brigid</w:t>
      </w:r>
      <w:proofErr w:type="spellEnd"/>
      <w:r w:rsidR="00745686" w:rsidRPr="004E64DB">
        <w:rPr>
          <w:rFonts w:ascii="Garamond" w:hAnsi="Garamond"/>
          <w:i/>
          <w:iCs/>
          <w:color w:val="101010"/>
          <w:sz w:val="20"/>
          <w:szCs w:val="20"/>
          <w:bdr w:val="none" w:sz="0" w:space="0" w:color="auto" w:frame="1"/>
        </w:rPr>
        <w:t xml:space="preserve"> Arthur v. </w:t>
      </w:r>
      <w:proofErr w:type="spellStart"/>
      <w:r w:rsidR="00745686" w:rsidRPr="004E64DB">
        <w:rPr>
          <w:rFonts w:ascii="Garamond" w:hAnsi="Garamond"/>
          <w:i/>
          <w:iCs/>
          <w:color w:val="101010"/>
          <w:sz w:val="20"/>
          <w:szCs w:val="20"/>
          <w:bdr w:val="none" w:sz="0" w:space="0" w:color="auto" w:frame="1"/>
        </w:rPr>
        <w:t>Minister</w:t>
      </w:r>
      <w:proofErr w:type="spellEnd"/>
      <w:r w:rsidR="00745686" w:rsidRPr="004E64DB">
        <w:rPr>
          <w:rFonts w:ascii="Garamond" w:hAnsi="Garamond"/>
          <w:i/>
          <w:iCs/>
          <w:color w:val="101010"/>
          <w:sz w:val="20"/>
          <w:szCs w:val="20"/>
          <w:bdr w:val="none" w:sz="0" w:space="0" w:color="auto" w:frame="1"/>
        </w:rPr>
        <w:t xml:space="preserve"> for the </w:t>
      </w:r>
      <w:proofErr w:type="spellStart"/>
      <w:r w:rsidR="00745686" w:rsidRPr="004E64DB">
        <w:rPr>
          <w:rFonts w:ascii="Garamond" w:hAnsi="Garamond"/>
          <w:i/>
          <w:iCs/>
          <w:color w:val="101010"/>
          <w:sz w:val="20"/>
          <w:szCs w:val="20"/>
          <w:bdr w:val="none" w:sz="0" w:space="0" w:color="auto" w:frame="1"/>
        </w:rPr>
        <w:t>Environment</w:t>
      </w:r>
      <w:proofErr w:type="spellEnd"/>
      <w:r w:rsidR="00745686" w:rsidRPr="004E64DB">
        <w:rPr>
          <w:rFonts w:ascii="Garamond" w:hAnsi="Garamond"/>
          <w:color w:val="101010"/>
          <w:sz w:val="20"/>
          <w:szCs w:val="20"/>
          <w:bdr w:val="none" w:sz="0" w:space="0" w:color="auto" w:frame="1"/>
        </w:rPr>
        <w:t>, FC 560</w:t>
      </w:r>
      <w:r w:rsidR="00C85E30" w:rsidRPr="004E64DB">
        <w:rPr>
          <w:rFonts w:ascii="Garamond" w:hAnsi="Garamond"/>
          <w:color w:val="101010"/>
          <w:sz w:val="20"/>
          <w:szCs w:val="20"/>
          <w:bdr w:val="none" w:sz="0" w:space="0" w:color="auto" w:frame="1"/>
        </w:rPr>
        <w:t xml:space="preserve">, </w:t>
      </w:r>
      <w:r w:rsidR="00C85E30" w:rsidRPr="004846F6">
        <w:rPr>
          <w:rFonts w:ascii="Garamond" w:hAnsi="Garamond"/>
          <w:i/>
          <w:iCs/>
          <w:color w:val="101010"/>
          <w:sz w:val="20"/>
          <w:szCs w:val="20"/>
          <w:bdr w:val="none" w:sz="0" w:space="0" w:color="auto" w:frame="1"/>
        </w:rPr>
        <w:t>RGDIP</w:t>
      </w:r>
      <w:r w:rsidR="00C85E30" w:rsidRPr="004E64DB">
        <w:rPr>
          <w:rFonts w:ascii="Garamond" w:hAnsi="Garamond"/>
          <w:color w:val="101010"/>
          <w:sz w:val="20"/>
          <w:szCs w:val="20"/>
          <w:bdr w:val="none" w:sz="0" w:space="0" w:color="auto" w:frame="1"/>
        </w:rPr>
        <w:t xml:space="preserve"> 2021-4.</w:t>
      </w:r>
    </w:p>
    <w:p w14:paraId="0018F5F2" w14:textId="77777777" w:rsidR="002F3C95" w:rsidRPr="004E64DB" w:rsidRDefault="002F3C95" w:rsidP="002F3C95">
      <w:pPr>
        <w:jc w:val="both"/>
        <w:rPr>
          <w:rFonts w:ascii="Garamond" w:hAnsi="Garamond"/>
          <w:color w:val="101010"/>
          <w:sz w:val="20"/>
          <w:szCs w:val="20"/>
          <w:bdr w:val="none" w:sz="0" w:space="0" w:color="auto" w:frame="1"/>
        </w:rPr>
      </w:pPr>
    </w:p>
    <w:p w14:paraId="5FC92898" w14:textId="7F424FAB" w:rsidR="00E65A72" w:rsidRPr="006A2FAB" w:rsidRDefault="00B60C76" w:rsidP="002F3C95">
      <w:pPr>
        <w:pStyle w:val="NormalWeb"/>
        <w:spacing w:before="0" w:beforeAutospacing="0" w:after="0" w:afterAutospacing="0"/>
        <w:jc w:val="both"/>
        <w:rPr>
          <w:rFonts w:ascii="Garamond" w:hAnsi="Garamond"/>
          <w:sz w:val="20"/>
          <w:szCs w:val="20"/>
        </w:rPr>
      </w:pPr>
      <w:r>
        <w:rPr>
          <w:rFonts w:ascii="Garamond" w:hAnsi="Garamond"/>
          <w:smallCaps/>
          <w:sz w:val="20"/>
          <w:szCs w:val="20"/>
        </w:rPr>
        <w:t>2</w:t>
      </w:r>
      <w:r w:rsidR="004846F6">
        <w:rPr>
          <w:rFonts w:ascii="Garamond" w:hAnsi="Garamond"/>
          <w:smallCaps/>
          <w:sz w:val="20"/>
          <w:szCs w:val="20"/>
        </w:rPr>
        <w:t>5</w:t>
      </w:r>
      <w:r>
        <w:rPr>
          <w:rFonts w:ascii="Garamond" w:hAnsi="Garamond"/>
          <w:smallCaps/>
          <w:sz w:val="20"/>
          <w:szCs w:val="20"/>
        </w:rPr>
        <w:t xml:space="preserve">. </w:t>
      </w:r>
      <w:proofErr w:type="spellStart"/>
      <w:r w:rsidR="00E65A72" w:rsidRPr="002F3C95">
        <w:rPr>
          <w:rFonts w:ascii="Garamond" w:hAnsi="Garamond"/>
          <w:smallCaps/>
          <w:sz w:val="16"/>
          <w:szCs w:val="16"/>
        </w:rPr>
        <w:t>Nouvelle-Zelande</w:t>
      </w:r>
      <w:proofErr w:type="spellEnd"/>
      <w:r w:rsidR="00E65A72" w:rsidRPr="004E64DB">
        <w:rPr>
          <w:rFonts w:ascii="Garamond" w:hAnsi="Garamond"/>
          <w:sz w:val="20"/>
          <w:szCs w:val="20"/>
        </w:rPr>
        <w:t xml:space="preserve">. </w:t>
      </w:r>
      <w:r w:rsidR="00E65A72" w:rsidRPr="006A2FAB">
        <w:rPr>
          <w:rFonts w:ascii="Garamond" w:hAnsi="Garamond"/>
          <w:sz w:val="20"/>
          <w:szCs w:val="20"/>
        </w:rPr>
        <w:t xml:space="preserve">Cour d’appel, 11 juin 2019, </w:t>
      </w:r>
      <w:r w:rsidR="00E65A72" w:rsidRPr="006A2FAB">
        <w:rPr>
          <w:rFonts w:ascii="Garamond" w:hAnsi="Garamond"/>
          <w:i/>
          <w:sz w:val="20"/>
          <w:szCs w:val="20"/>
        </w:rPr>
        <w:t xml:space="preserve">Kim v </w:t>
      </w:r>
      <w:proofErr w:type="spellStart"/>
      <w:r w:rsidR="00E65A72" w:rsidRPr="006A2FAB">
        <w:rPr>
          <w:rFonts w:ascii="Garamond" w:hAnsi="Garamond"/>
          <w:i/>
          <w:sz w:val="20"/>
          <w:szCs w:val="20"/>
        </w:rPr>
        <w:t>Minister</w:t>
      </w:r>
      <w:proofErr w:type="spellEnd"/>
      <w:r w:rsidR="00E65A72" w:rsidRPr="006A2FAB">
        <w:rPr>
          <w:rFonts w:ascii="Garamond" w:hAnsi="Garamond"/>
          <w:i/>
          <w:sz w:val="20"/>
          <w:szCs w:val="20"/>
        </w:rPr>
        <w:t xml:space="preserve"> of Justice of New </w:t>
      </w:r>
      <w:proofErr w:type="spellStart"/>
      <w:r w:rsidR="00E65A72" w:rsidRPr="006A2FAB">
        <w:rPr>
          <w:rFonts w:ascii="Garamond" w:hAnsi="Garamond"/>
          <w:i/>
          <w:sz w:val="20"/>
          <w:szCs w:val="20"/>
        </w:rPr>
        <w:t>Zealand</w:t>
      </w:r>
      <w:proofErr w:type="spellEnd"/>
      <w:r w:rsidR="00E65A72" w:rsidRPr="006A2FAB">
        <w:rPr>
          <w:rFonts w:ascii="Garamond" w:hAnsi="Garamond"/>
          <w:sz w:val="20"/>
          <w:szCs w:val="20"/>
        </w:rPr>
        <w:t xml:space="preserve"> (CA562/2017 NZCA </w:t>
      </w:r>
      <w:proofErr w:type="gramStart"/>
      <w:r w:rsidR="00E65A72" w:rsidRPr="006A2FAB">
        <w:rPr>
          <w:rFonts w:ascii="Garamond" w:hAnsi="Garamond"/>
          <w:sz w:val="20"/>
          <w:szCs w:val="20"/>
        </w:rPr>
        <w:t>209)</w:t>
      </w:r>
      <w:r w:rsidR="00C7638C" w:rsidRPr="006A2FAB">
        <w:rPr>
          <w:rFonts w:ascii="Garamond" w:hAnsi="Garamond"/>
          <w:sz w:val="20"/>
          <w:szCs w:val="20"/>
        </w:rPr>
        <w:t>-</w:t>
      </w:r>
      <w:proofErr w:type="gramEnd"/>
      <w:r w:rsidR="00C7638C" w:rsidRPr="006A2FAB">
        <w:rPr>
          <w:rFonts w:ascii="Garamond" w:hAnsi="Garamond"/>
          <w:sz w:val="20"/>
          <w:szCs w:val="20"/>
        </w:rPr>
        <w:t xml:space="preserve"> </w:t>
      </w:r>
      <w:r w:rsidR="00E65A72" w:rsidRPr="006A2FAB">
        <w:rPr>
          <w:rFonts w:ascii="Garamond" w:hAnsi="Garamond"/>
          <w:smallCaps/>
          <w:sz w:val="16"/>
          <w:szCs w:val="16"/>
        </w:rPr>
        <w:t>SUEDE</w:t>
      </w:r>
      <w:r w:rsidR="00E65A72" w:rsidRPr="006A2FAB">
        <w:rPr>
          <w:rFonts w:ascii="Garamond" w:hAnsi="Garamond"/>
          <w:sz w:val="20"/>
          <w:szCs w:val="20"/>
        </w:rPr>
        <w:t>. Cour suprême, 9 juillet 2019, QJ, Ö 2479-</w:t>
      </w:r>
      <w:r w:rsidR="00C7638C" w:rsidRPr="006A2FAB">
        <w:rPr>
          <w:rFonts w:ascii="Garamond" w:hAnsi="Garamond"/>
          <w:sz w:val="20"/>
          <w:szCs w:val="20"/>
        </w:rPr>
        <w:t xml:space="preserve">19, </w:t>
      </w:r>
      <w:r w:rsidR="00E65A72" w:rsidRPr="006A2FAB">
        <w:rPr>
          <w:rFonts w:ascii="Garamond" w:hAnsi="Garamond"/>
          <w:i/>
          <w:iCs/>
          <w:sz w:val="20"/>
          <w:szCs w:val="20"/>
        </w:rPr>
        <w:t>RGDIP</w:t>
      </w:r>
      <w:r w:rsidR="00E65A72" w:rsidRPr="006A2FAB">
        <w:rPr>
          <w:rFonts w:ascii="Garamond" w:hAnsi="Garamond"/>
          <w:sz w:val="20"/>
          <w:szCs w:val="20"/>
        </w:rPr>
        <w:t xml:space="preserve"> 2019-4.</w:t>
      </w:r>
    </w:p>
    <w:p w14:paraId="1FB21028" w14:textId="77777777" w:rsidR="002F3C95" w:rsidRPr="006A2FAB" w:rsidRDefault="002F3C95" w:rsidP="002F3C95">
      <w:pPr>
        <w:pStyle w:val="NormalWeb"/>
        <w:spacing w:before="0" w:beforeAutospacing="0" w:after="0" w:afterAutospacing="0"/>
        <w:jc w:val="both"/>
        <w:rPr>
          <w:rFonts w:ascii="Garamond" w:hAnsi="Garamond"/>
          <w:sz w:val="20"/>
          <w:szCs w:val="20"/>
        </w:rPr>
      </w:pPr>
    </w:p>
    <w:p w14:paraId="1F67EDE7" w14:textId="42733275" w:rsidR="00C7638C" w:rsidRDefault="00B60C76" w:rsidP="002F3C95">
      <w:pPr>
        <w:pStyle w:val="NormalWeb"/>
        <w:spacing w:before="0" w:beforeAutospacing="0" w:after="0" w:afterAutospacing="0"/>
        <w:ind w:left="567" w:hanging="567"/>
        <w:jc w:val="both"/>
        <w:rPr>
          <w:rFonts w:ascii="Garamond" w:hAnsi="Garamond"/>
          <w:sz w:val="20"/>
          <w:szCs w:val="20"/>
        </w:rPr>
      </w:pPr>
      <w:r>
        <w:rPr>
          <w:rFonts w:ascii="Garamond" w:hAnsi="Garamond"/>
          <w:smallCaps/>
          <w:sz w:val="20"/>
          <w:szCs w:val="20"/>
        </w:rPr>
        <w:t>2</w:t>
      </w:r>
      <w:r w:rsidR="004846F6">
        <w:rPr>
          <w:rFonts w:ascii="Garamond" w:hAnsi="Garamond"/>
          <w:smallCaps/>
          <w:sz w:val="20"/>
          <w:szCs w:val="20"/>
        </w:rPr>
        <w:t>4</w:t>
      </w:r>
      <w:r>
        <w:rPr>
          <w:rFonts w:ascii="Garamond" w:hAnsi="Garamond"/>
          <w:smallCaps/>
          <w:sz w:val="20"/>
          <w:szCs w:val="20"/>
        </w:rPr>
        <w:t xml:space="preserve">. </w:t>
      </w:r>
      <w:r w:rsidR="00E65A72" w:rsidRPr="002F3C95">
        <w:rPr>
          <w:rFonts w:ascii="Garamond" w:hAnsi="Garamond"/>
          <w:smallCaps/>
          <w:sz w:val="16"/>
          <w:szCs w:val="16"/>
        </w:rPr>
        <w:t>Espagne</w:t>
      </w:r>
      <w:r w:rsidR="00E65A72" w:rsidRPr="004E64DB">
        <w:rPr>
          <w:rFonts w:ascii="Garamond" w:hAnsi="Garamond"/>
          <w:sz w:val="20"/>
          <w:szCs w:val="20"/>
        </w:rPr>
        <w:t>. Tribunal constitutionnel, 20 décembre 2018, recours d’inconstitutionnalité 3754/2014</w:t>
      </w:r>
      <w:r w:rsidR="00C7638C">
        <w:rPr>
          <w:rFonts w:ascii="Garamond" w:hAnsi="Garamond"/>
          <w:sz w:val="20"/>
          <w:szCs w:val="20"/>
        </w:rPr>
        <w:t>,</w:t>
      </w:r>
      <w:r w:rsidR="00C7638C" w:rsidRPr="002F3C95">
        <w:rPr>
          <w:rFonts w:ascii="Garamond" w:hAnsi="Garamond"/>
          <w:i/>
          <w:iCs/>
          <w:sz w:val="20"/>
          <w:szCs w:val="20"/>
        </w:rPr>
        <w:t xml:space="preserve"> </w:t>
      </w:r>
      <w:r w:rsidR="00E65A72" w:rsidRPr="002F3C95">
        <w:rPr>
          <w:rFonts w:ascii="Garamond" w:hAnsi="Garamond"/>
          <w:i/>
          <w:iCs/>
          <w:sz w:val="20"/>
          <w:szCs w:val="20"/>
        </w:rPr>
        <w:t>RGDIP</w:t>
      </w:r>
      <w:r w:rsidR="00E65A72" w:rsidRPr="004E64DB">
        <w:rPr>
          <w:rFonts w:ascii="Garamond" w:hAnsi="Garamond"/>
          <w:sz w:val="20"/>
          <w:szCs w:val="20"/>
        </w:rPr>
        <w:t xml:space="preserve"> 2019-4.</w:t>
      </w:r>
    </w:p>
    <w:p w14:paraId="7244C50D" w14:textId="77777777" w:rsidR="002F3C95" w:rsidRPr="00C7638C" w:rsidRDefault="002F3C95" w:rsidP="002F3C95">
      <w:pPr>
        <w:pStyle w:val="NormalWeb"/>
        <w:spacing w:before="0" w:beforeAutospacing="0" w:after="0" w:afterAutospacing="0"/>
        <w:ind w:left="567" w:hanging="567"/>
        <w:jc w:val="both"/>
        <w:rPr>
          <w:rFonts w:ascii="Garamond" w:hAnsi="Garamond"/>
          <w:sz w:val="20"/>
          <w:szCs w:val="20"/>
        </w:rPr>
      </w:pPr>
    </w:p>
    <w:p w14:paraId="7D4C181F" w14:textId="1EBE054F" w:rsidR="00FA0BB0" w:rsidRDefault="00B60C76" w:rsidP="002F3C95">
      <w:pPr>
        <w:autoSpaceDE w:val="0"/>
        <w:autoSpaceDN w:val="0"/>
        <w:adjustRightInd w:val="0"/>
        <w:jc w:val="both"/>
        <w:rPr>
          <w:rFonts w:ascii="Garamond" w:hAnsi="Garamond" w:cs="ƒX`Œ˛"/>
          <w:sz w:val="20"/>
          <w:szCs w:val="20"/>
        </w:rPr>
      </w:pPr>
      <w:r>
        <w:rPr>
          <w:rFonts w:ascii="Garamond" w:hAnsi="Garamond" w:cs="ƒX`Œ˛"/>
          <w:sz w:val="20"/>
          <w:szCs w:val="20"/>
        </w:rPr>
        <w:t>2</w:t>
      </w:r>
      <w:r w:rsidR="004846F6">
        <w:rPr>
          <w:rFonts w:ascii="Garamond" w:hAnsi="Garamond" w:cs="ƒX`Œ˛"/>
          <w:sz w:val="20"/>
          <w:szCs w:val="20"/>
        </w:rPr>
        <w:t>3</w:t>
      </w:r>
      <w:r>
        <w:rPr>
          <w:rFonts w:ascii="Garamond" w:hAnsi="Garamond" w:cs="ƒX`Œ˛"/>
          <w:sz w:val="20"/>
          <w:szCs w:val="20"/>
        </w:rPr>
        <w:t xml:space="preserve">. </w:t>
      </w:r>
      <w:r w:rsidR="00FA0BB0" w:rsidRPr="00A652D8">
        <w:rPr>
          <w:rFonts w:ascii="Garamond" w:hAnsi="Garamond" w:cs="ƒX`Œ˛"/>
          <w:sz w:val="13"/>
          <w:szCs w:val="13"/>
        </w:rPr>
        <w:t>ESPAGNE</w:t>
      </w:r>
      <w:r w:rsidR="00FA0BB0" w:rsidRPr="004E64DB">
        <w:rPr>
          <w:rFonts w:ascii="Garamond" w:hAnsi="Garamond" w:cs="ƒX`Œ˛"/>
          <w:sz w:val="20"/>
          <w:szCs w:val="20"/>
        </w:rPr>
        <w:t>. Tribunal suprême (salle du contentieux administratif, 4ème section),</w:t>
      </w:r>
      <w:r w:rsidR="002F3C95">
        <w:rPr>
          <w:rFonts w:ascii="Garamond" w:hAnsi="Garamond" w:cs="ƒX`Œ˛"/>
          <w:sz w:val="20"/>
          <w:szCs w:val="20"/>
        </w:rPr>
        <w:t xml:space="preserve"> </w:t>
      </w:r>
      <w:r w:rsidR="00FA0BB0" w:rsidRPr="004E64DB">
        <w:rPr>
          <w:rFonts w:ascii="Garamond" w:hAnsi="Garamond" w:cs="ƒX`Œ˛"/>
          <w:sz w:val="20"/>
          <w:szCs w:val="20"/>
        </w:rPr>
        <w:t xml:space="preserve">décision 1263/2018 du 17 juillet </w:t>
      </w:r>
      <w:proofErr w:type="gramStart"/>
      <w:r w:rsidR="00FA0BB0" w:rsidRPr="004E64DB">
        <w:rPr>
          <w:rFonts w:ascii="Garamond" w:hAnsi="Garamond" w:cs="ƒX`Œ˛"/>
          <w:sz w:val="20"/>
          <w:szCs w:val="20"/>
        </w:rPr>
        <w:t>2018</w:t>
      </w:r>
      <w:r w:rsidR="00C7638C">
        <w:rPr>
          <w:rFonts w:ascii="Garamond" w:hAnsi="Garamond" w:cs="ƒX`Œ˛"/>
          <w:sz w:val="20"/>
          <w:szCs w:val="20"/>
        </w:rPr>
        <w:t xml:space="preserve">,  </w:t>
      </w:r>
      <w:r w:rsidR="00FA0BB0" w:rsidRPr="002F3C95">
        <w:rPr>
          <w:rFonts w:ascii="Garamond" w:hAnsi="Garamond" w:cs="ƒX`Œ˛"/>
          <w:i/>
          <w:iCs/>
          <w:sz w:val="20"/>
          <w:szCs w:val="20"/>
        </w:rPr>
        <w:t>RGDIP</w:t>
      </w:r>
      <w:proofErr w:type="gramEnd"/>
      <w:r w:rsidR="00FA0BB0" w:rsidRPr="004E64DB">
        <w:rPr>
          <w:rFonts w:ascii="Garamond" w:hAnsi="Garamond" w:cs="ƒX`Œ˛"/>
          <w:sz w:val="20"/>
          <w:szCs w:val="20"/>
        </w:rPr>
        <w:t xml:space="preserve"> 2018-4, p. 1053.</w:t>
      </w:r>
    </w:p>
    <w:p w14:paraId="78F6B472" w14:textId="77777777" w:rsidR="00C7638C" w:rsidRPr="004E64DB" w:rsidRDefault="00C7638C" w:rsidP="002F3C95">
      <w:pPr>
        <w:autoSpaceDE w:val="0"/>
        <w:autoSpaceDN w:val="0"/>
        <w:adjustRightInd w:val="0"/>
        <w:jc w:val="both"/>
        <w:rPr>
          <w:rFonts w:ascii="Garamond" w:hAnsi="Garamond" w:cs="ƒX`Œ˛"/>
          <w:sz w:val="20"/>
          <w:szCs w:val="20"/>
        </w:rPr>
      </w:pPr>
    </w:p>
    <w:p w14:paraId="0B74A487" w14:textId="65C2F097" w:rsidR="00FA0BB0" w:rsidRPr="00C7638C" w:rsidRDefault="00B60C76" w:rsidP="002F3C95">
      <w:pPr>
        <w:autoSpaceDE w:val="0"/>
        <w:autoSpaceDN w:val="0"/>
        <w:adjustRightInd w:val="0"/>
        <w:jc w:val="both"/>
        <w:rPr>
          <w:rFonts w:ascii="Garamond" w:hAnsi="Garamond" w:cs="ƒX`Œ˛"/>
          <w:sz w:val="20"/>
          <w:szCs w:val="20"/>
          <w:lang w:val="en-US"/>
        </w:rPr>
      </w:pPr>
      <w:r w:rsidRPr="006A2FAB">
        <w:rPr>
          <w:rFonts w:ascii="Garamond" w:hAnsi="Garamond" w:cs="ƒX`Œ˛"/>
          <w:sz w:val="20"/>
          <w:szCs w:val="20"/>
          <w:lang w:val="en-US"/>
        </w:rPr>
        <w:lastRenderedPageBreak/>
        <w:t>2</w:t>
      </w:r>
      <w:r w:rsidR="004846F6" w:rsidRPr="006A2FAB">
        <w:rPr>
          <w:rFonts w:ascii="Garamond" w:hAnsi="Garamond" w:cs="ƒX`Œ˛"/>
          <w:sz w:val="20"/>
          <w:szCs w:val="20"/>
          <w:lang w:val="en-US"/>
        </w:rPr>
        <w:t>2</w:t>
      </w:r>
      <w:r w:rsidRPr="006A2FAB">
        <w:rPr>
          <w:rFonts w:ascii="Garamond" w:hAnsi="Garamond" w:cs="ƒX`Œ˛"/>
          <w:sz w:val="20"/>
          <w:szCs w:val="20"/>
          <w:lang w:val="en-US"/>
        </w:rPr>
        <w:t xml:space="preserve">. </w:t>
      </w:r>
      <w:r w:rsidR="00FA0BB0" w:rsidRPr="006A2FAB">
        <w:rPr>
          <w:rFonts w:ascii="Garamond" w:hAnsi="Garamond" w:cs="ƒX`Œ˛"/>
          <w:sz w:val="13"/>
          <w:szCs w:val="13"/>
          <w:lang w:val="en-US"/>
        </w:rPr>
        <w:t>ROYAUME-UNI</w:t>
      </w:r>
      <w:r w:rsidR="00FA0BB0" w:rsidRPr="006A2FAB">
        <w:rPr>
          <w:rFonts w:ascii="Garamond" w:hAnsi="Garamond" w:cs="ƒX`Œ˛"/>
          <w:sz w:val="20"/>
          <w:szCs w:val="20"/>
          <w:lang w:val="en-US"/>
        </w:rPr>
        <w:t xml:space="preserve">. </w:t>
      </w:r>
      <w:proofErr w:type="spellStart"/>
      <w:r w:rsidR="00FA0BB0" w:rsidRPr="00C7638C">
        <w:rPr>
          <w:rFonts w:ascii="Garamond" w:hAnsi="Garamond" w:cs="ƒX`Œ˛"/>
          <w:sz w:val="20"/>
          <w:szCs w:val="20"/>
          <w:lang w:val="en-US"/>
        </w:rPr>
        <w:t>Cour</w:t>
      </w:r>
      <w:proofErr w:type="spellEnd"/>
      <w:r w:rsidR="00FA0BB0" w:rsidRPr="00C7638C">
        <w:rPr>
          <w:rFonts w:ascii="Garamond" w:hAnsi="Garamond" w:cs="ƒX`Œ˛"/>
          <w:sz w:val="20"/>
          <w:szCs w:val="20"/>
          <w:lang w:val="en-US"/>
        </w:rPr>
        <w:t xml:space="preserve"> </w:t>
      </w:r>
      <w:proofErr w:type="spellStart"/>
      <w:r w:rsidR="00FA0BB0" w:rsidRPr="00C7638C">
        <w:rPr>
          <w:rFonts w:ascii="Garamond" w:hAnsi="Garamond" w:cs="ƒX`Œ˛"/>
          <w:sz w:val="20"/>
          <w:szCs w:val="20"/>
          <w:lang w:val="en-US"/>
        </w:rPr>
        <w:t>suprême</w:t>
      </w:r>
      <w:proofErr w:type="spellEnd"/>
      <w:r w:rsidR="00FA0BB0" w:rsidRPr="00C7638C">
        <w:rPr>
          <w:rFonts w:ascii="Garamond" w:hAnsi="Garamond" w:cs="ƒX`Œ˛"/>
          <w:sz w:val="20"/>
          <w:szCs w:val="20"/>
          <w:lang w:val="en-US"/>
        </w:rPr>
        <w:t xml:space="preserve">, 8 </w:t>
      </w:r>
      <w:proofErr w:type="spellStart"/>
      <w:r w:rsidR="00FA0BB0" w:rsidRPr="00C7638C">
        <w:rPr>
          <w:rFonts w:ascii="Garamond" w:hAnsi="Garamond" w:cs="ƒX`Œ˛"/>
          <w:sz w:val="20"/>
          <w:szCs w:val="20"/>
          <w:lang w:val="en-US"/>
        </w:rPr>
        <w:t>février</w:t>
      </w:r>
      <w:proofErr w:type="spellEnd"/>
      <w:r w:rsidR="00FA0BB0" w:rsidRPr="00C7638C">
        <w:rPr>
          <w:rFonts w:ascii="Garamond" w:hAnsi="Garamond" w:cs="ƒX`Œ˛"/>
          <w:sz w:val="20"/>
          <w:szCs w:val="20"/>
          <w:lang w:val="en-US"/>
        </w:rPr>
        <w:t xml:space="preserve"> 2018, R (on the application of</w:t>
      </w:r>
      <w:r w:rsidR="00C7638C" w:rsidRPr="00C7638C">
        <w:rPr>
          <w:rFonts w:ascii="Garamond" w:hAnsi="Garamond" w:cs="ƒX`Œ˛"/>
          <w:sz w:val="20"/>
          <w:szCs w:val="20"/>
          <w:lang w:val="en-US"/>
        </w:rPr>
        <w:t xml:space="preserve"> </w:t>
      </w:r>
      <w:proofErr w:type="spellStart"/>
      <w:r w:rsidR="00FA0BB0" w:rsidRPr="004E64DB">
        <w:rPr>
          <w:rFonts w:ascii="Garamond" w:hAnsi="Garamond" w:cs="ƒX`Œ˛"/>
          <w:sz w:val="20"/>
          <w:szCs w:val="20"/>
          <w:lang w:val="en-US"/>
        </w:rPr>
        <w:t>Bancoult</w:t>
      </w:r>
      <w:proofErr w:type="spellEnd"/>
      <w:r w:rsidR="00FA0BB0" w:rsidRPr="004E64DB">
        <w:rPr>
          <w:rFonts w:ascii="Garamond" w:hAnsi="Garamond" w:cs="ƒX`Œ˛"/>
          <w:sz w:val="20"/>
          <w:szCs w:val="20"/>
          <w:lang w:val="en-US"/>
        </w:rPr>
        <w:t xml:space="preserve"> No 3) (Appellant) v Secretary of State for Foreign and</w:t>
      </w:r>
      <w:r w:rsidR="00C7638C">
        <w:rPr>
          <w:rFonts w:ascii="Garamond" w:hAnsi="Garamond" w:cs="ƒX`Œ˛"/>
          <w:sz w:val="20"/>
          <w:szCs w:val="20"/>
          <w:lang w:val="en-US"/>
        </w:rPr>
        <w:t xml:space="preserve"> </w:t>
      </w:r>
      <w:r w:rsidR="00FA0BB0" w:rsidRPr="00C7638C">
        <w:rPr>
          <w:rFonts w:ascii="Garamond" w:hAnsi="Garamond" w:cs="ƒX`Œ˛"/>
          <w:sz w:val="20"/>
          <w:szCs w:val="20"/>
          <w:lang w:val="en-US"/>
        </w:rPr>
        <w:t>Commonwealth Affairs (Respondent) [2018 UKSC 3]</w:t>
      </w:r>
      <w:r w:rsidR="00C7638C" w:rsidRPr="00C7638C">
        <w:rPr>
          <w:rFonts w:ascii="Garamond" w:hAnsi="Garamond" w:cs="ƒX`Œ˛"/>
          <w:sz w:val="20"/>
          <w:szCs w:val="20"/>
          <w:lang w:val="en-US"/>
        </w:rPr>
        <w:t xml:space="preserve">, </w:t>
      </w:r>
      <w:r w:rsidR="00FA0BB0" w:rsidRPr="002F3C95">
        <w:rPr>
          <w:rFonts w:ascii="Garamond" w:hAnsi="Garamond" w:cs="ƒX`Œ˛"/>
          <w:i/>
          <w:iCs/>
          <w:sz w:val="20"/>
          <w:szCs w:val="20"/>
          <w:lang w:val="en-US"/>
        </w:rPr>
        <w:t>RGDIP</w:t>
      </w:r>
      <w:r w:rsidR="00FA0BB0" w:rsidRPr="00C7638C">
        <w:rPr>
          <w:rFonts w:ascii="Garamond" w:hAnsi="Garamond" w:cs="ƒX`Œ˛"/>
          <w:sz w:val="20"/>
          <w:szCs w:val="20"/>
          <w:lang w:val="en-US"/>
        </w:rPr>
        <w:t xml:space="preserve"> 2018-4, p. 1080.</w:t>
      </w:r>
    </w:p>
    <w:p w14:paraId="1762363E" w14:textId="77777777" w:rsidR="00C7638C" w:rsidRPr="00C7638C" w:rsidRDefault="00C7638C" w:rsidP="002F3C95">
      <w:pPr>
        <w:autoSpaceDE w:val="0"/>
        <w:autoSpaceDN w:val="0"/>
        <w:adjustRightInd w:val="0"/>
        <w:jc w:val="both"/>
        <w:rPr>
          <w:rFonts w:ascii="Garamond" w:hAnsi="Garamond" w:cs="ƒX`Œ˛"/>
          <w:sz w:val="20"/>
          <w:szCs w:val="20"/>
          <w:lang w:val="en-US"/>
        </w:rPr>
      </w:pPr>
    </w:p>
    <w:p w14:paraId="113F7C6C" w14:textId="5ABCF99C" w:rsidR="00FA0BB0" w:rsidRPr="00C7638C" w:rsidRDefault="00B60C76" w:rsidP="002F3C95">
      <w:pPr>
        <w:autoSpaceDE w:val="0"/>
        <w:autoSpaceDN w:val="0"/>
        <w:adjustRightInd w:val="0"/>
        <w:jc w:val="both"/>
        <w:rPr>
          <w:rFonts w:ascii="Garamond" w:hAnsi="Garamond" w:cs="ƒX`Œ˛"/>
          <w:sz w:val="20"/>
          <w:szCs w:val="20"/>
          <w:lang w:val="en-US"/>
        </w:rPr>
      </w:pPr>
      <w:r>
        <w:rPr>
          <w:rFonts w:ascii="Garamond" w:hAnsi="Garamond" w:cs="ƒX`Œ˛"/>
          <w:sz w:val="20"/>
          <w:szCs w:val="20"/>
        </w:rPr>
        <w:t>2</w:t>
      </w:r>
      <w:r w:rsidR="004846F6">
        <w:rPr>
          <w:rFonts w:ascii="Garamond" w:hAnsi="Garamond" w:cs="ƒX`Œ˛"/>
          <w:sz w:val="20"/>
          <w:szCs w:val="20"/>
        </w:rPr>
        <w:t>1</w:t>
      </w:r>
      <w:r>
        <w:rPr>
          <w:rFonts w:ascii="Garamond" w:hAnsi="Garamond" w:cs="ƒX`Œ˛"/>
          <w:sz w:val="20"/>
          <w:szCs w:val="20"/>
        </w:rPr>
        <w:t xml:space="preserve">. </w:t>
      </w:r>
      <w:r w:rsidR="00FA0BB0" w:rsidRPr="00A652D8">
        <w:rPr>
          <w:rFonts w:ascii="Garamond" w:hAnsi="Garamond" w:cs="ƒX`Œ˛"/>
          <w:sz w:val="13"/>
          <w:szCs w:val="13"/>
        </w:rPr>
        <w:t>ROYAUME-UNI</w:t>
      </w:r>
      <w:r w:rsidR="00FA0BB0" w:rsidRPr="004E64DB">
        <w:rPr>
          <w:rFonts w:ascii="Garamond" w:hAnsi="Garamond" w:cs="ƒX`Œ˛"/>
          <w:sz w:val="20"/>
          <w:szCs w:val="20"/>
        </w:rPr>
        <w:t>. Haute Cour de justice d’Angleterre et du pays de Galles</w:t>
      </w:r>
      <w:r w:rsidR="00C7638C">
        <w:rPr>
          <w:rFonts w:ascii="Garamond" w:hAnsi="Garamond" w:cs="ƒX`Œ˛"/>
          <w:sz w:val="20"/>
          <w:szCs w:val="20"/>
        </w:rPr>
        <w:t xml:space="preserve"> </w:t>
      </w:r>
      <w:r w:rsidR="00FA0BB0" w:rsidRPr="00C7638C">
        <w:rPr>
          <w:rFonts w:ascii="Garamond" w:hAnsi="Garamond" w:cs="ƒX`Œ˛"/>
          <w:sz w:val="20"/>
          <w:szCs w:val="20"/>
        </w:rPr>
        <w:t>(</w:t>
      </w:r>
      <w:proofErr w:type="spellStart"/>
      <w:r w:rsidR="00FA0BB0" w:rsidRPr="00C7638C">
        <w:rPr>
          <w:rFonts w:ascii="Garamond" w:hAnsi="Garamond" w:cs="ƒX`Œ˛"/>
          <w:sz w:val="20"/>
          <w:szCs w:val="20"/>
        </w:rPr>
        <w:t>Comm</w:t>
      </w:r>
      <w:proofErr w:type="spellEnd"/>
      <w:r w:rsidR="00FA0BB0" w:rsidRPr="00C7638C">
        <w:rPr>
          <w:rFonts w:ascii="Garamond" w:hAnsi="Garamond" w:cs="ƒX`Œ˛"/>
          <w:sz w:val="20"/>
          <w:szCs w:val="20"/>
        </w:rPr>
        <w:t xml:space="preserve">. </w:t>
      </w:r>
      <w:r w:rsidR="00FA0BB0" w:rsidRPr="004E64DB">
        <w:rPr>
          <w:rFonts w:ascii="Garamond" w:hAnsi="Garamond" w:cs="ƒX`Œ˛"/>
          <w:sz w:val="20"/>
          <w:szCs w:val="20"/>
          <w:lang w:val="en-US"/>
        </w:rPr>
        <w:t>QBD), 1er mars 2018 [EWHC 385], Certain Underwriters At</w:t>
      </w:r>
      <w:r w:rsidR="00C7638C" w:rsidRPr="00C7638C">
        <w:rPr>
          <w:rFonts w:ascii="Garamond" w:hAnsi="Garamond" w:cs="ƒX`Œ˛"/>
          <w:sz w:val="20"/>
          <w:szCs w:val="20"/>
          <w:lang w:val="en-US"/>
        </w:rPr>
        <w:t xml:space="preserve"> </w:t>
      </w:r>
      <w:r w:rsidR="00FA0BB0" w:rsidRPr="004E64DB">
        <w:rPr>
          <w:rFonts w:ascii="Garamond" w:hAnsi="Garamond" w:cs="ƒX`Œ˛"/>
          <w:sz w:val="20"/>
          <w:szCs w:val="20"/>
          <w:lang w:val="en-US"/>
        </w:rPr>
        <w:t xml:space="preserve">Lloyds London v Syrian Arab Republic &amp; </w:t>
      </w:r>
      <w:proofErr w:type="spellStart"/>
      <w:r w:rsidR="00FA0BB0" w:rsidRPr="004E64DB">
        <w:rPr>
          <w:rFonts w:ascii="Garamond" w:hAnsi="Garamond" w:cs="ƒX`Œ˛"/>
          <w:sz w:val="20"/>
          <w:szCs w:val="20"/>
          <w:lang w:val="en-US"/>
        </w:rPr>
        <w:t>Ors</w:t>
      </w:r>
      <w:proofErr w:type="spellEnd"/>
      <w:r w:rsidR="00C7638C">
        <w:rPr>
          <w:rFonts w:ascii="Garamond" w:hAnsi="Garamond" w:cs="ƒX`Œ˛"/>
          <w:sz w:val="20"/>
          <w:szCs w:val="20"/>
          <w:lang w:val="en-US"/>
        </w:rPr>
        <w:t xml:space="preserve">, </w:t>
      </w:r>
      <w:r w:rsidR="00FA0BB0" w:rsidRPr="002F3C95">
        <w:rPr>
          <w:rFonts w:ascii="Garamond" w:hAnsi="Garamond" w:cs="ƒX`Œ˛"/>
          <w:i/>
          <w:iCs/>
          <w:sz w:val="20"/>
          <w:szCs w:val="20"/>
          <w:lang w:val="en-US"/>
        </w:rPr>
        <w:t>RGDIP</w:t>
      </w:r>
      <w:r w:rsidR="00FA0BB0" w:rsidRPr="00C7638C">
        <w:rPr>
          <w:rFonts w:ascii="Garamond" w:hAnsi="Garamond" w:cs="ƒX`Œ˛"/>
          <w:sz w:val="20"/>
          <w:szCs w:val="20"/>
          <w:lang w:val="en-US"/>
        </w:rPr>
        <w:t xml:space="preserve"> 2018-4, p. 1081.</w:t>
      </w:r>
    </w:p>
    <w:p w14:paraId="3C96819F" w14:textId="77777777" w:rsidR="00C7638C" w:rsidRPr="006A2FAB" w:rsidRDefault="00C7638C" w:rsidP="002F3C95">
      <w:pPr>
        <w:autoSpaceDE w:val="0"/>
        <w:autoSpaceDN w:val="0"/>
        <w:adjustRightInd w:val="0"/>
        <w:jc w:val="both"/>
        <w:rPr>
          <w:rFonts w:ascii="Garamond" w:hAnsi="Garamond" w:cs="ƒX`Œ˛"/>
          <w:sz w:val="20"/>
          <w:szCs w:val="20"/>
          <w:lang w:val="en-US"/>
        </w:rPr>
      </w:pPr>
    </w:p>
    <w:p w14:paraId="0C92CBB5" w14:textId="6FAFBD2F" w:rsidR="00FA0BB0" w:rsidRPr="006A2FAB" w:rsidRDefault="004846F6" w:rsidP="002F3C95">
      <w:pPr>
        <w:autoSpaceDE w:val="0"/>
        <w:autoSpaceDN w:val="0"/>
        <w:adjustRightInd w:val="0"/>
        <w:jc w:val="both"/>
        <w:rPr>
          <w:rFonts w:ascii="Garamond" w:hAnsi="Garamond" w:cs="ƒX`Œ˛"/>
          <w:sz w:val="20"/>
          <w:szCs w:val="20"/>
        </w:rPr>
      </w:pPr>
      <w:r>
        <w:rPr>
          <w:rFonts w:ascii="Garamond" w:hAnsi="Garamond" w:cs="ƒX`Œ˛"/>
          <w:sz w:val="20"/>
          <w:szCs w:val="20"/>
        </w:rPr>
        <w:t>20</w:t>
      </w:r>
      <w:r w:rsidR="00B60C76">
        <w:rPr>
          <w:rFonts w:ascii="Garamond" w:hAnsi="Garamond" w:cs="ƒX`Œ˛"/>
          <w:sz w:val="20"/>
          <w:szCs w:val="20"/>
        </w:rPr>
        <w:t xml:space="preserve">. </w:t>
      </w:r>
      <w:r w:rsidR="00FA0BB0" w:rsidRPr="00A652D8">
        <w:rPr>
          <w:rFonts w:ascii="Garamond" w:hAnsi="Garamond" w:cs="ƒX`Œ˛"/>
          <w:sz w:val="13"/>
          <w:szCs w:val="13"/>
        </w:rPr>
        <w:t>ISRAËL</w:t>
      </w:r>
      <w:r w:rsidR="00FA0BB0" w:rsidRPr="004E64DB">
        <w:rPr>
          <w:rFonts w:ascii="Garamond" w:hAnsi="Garamond" w:cs="ƒX`Œ˛"/>
          <w:sz w:val="20"/>
          <w:szCs w:val="20"/>
        </w:rPr>
        <w:t>. Cour suprême, décisions jointes 3003/18 et 3250/18 du 25 mai 2018,</w:t>
      </w:r>
      <w:r w:rsidR="00C7638C">
        <w:rPr>
          <w:rFonts w:ascii="Garamond" w:hAnsi="Garamond" w:cs="ƒX`Œ˛"/>
          <w:sz w:val="20"/>
          <w:szCs w:val="20"/>
        </w:rPr>
        <w:t xml:space="preserve"> </w:t>
      </w:r>
      <w:proofErr w:type="spellStart"/>
      <w:r w:rsidR="00FA0BB0" w:rsidRPr="006A2FAB">
        <w:rPr>
          <w:rFonts w:ascii="Garamond" w:hAnsi="Garamond" w:cs="ƒX`Œ˛"/>
          <w:sz w:val="20"/>
          <w:szCs w:val="20"/>
        </w:rPr>
        <w:t>Yesh</w:t>
      </w:r>
      <w:proofErr w:type="spellEnd"/>
      <w:r w:rsidR="00FA0BB0" w:rsidRPr="006A2FAB">
        <w:rPr>
          <w:rFonts w:ascii="Garamond" w:hAnsi="Garamond" w:cs="ƒX`Œ˛"/>
          <w:sz w:val="20"/>
          <w:szCs w:val="20"/>
        </w:rPr>
        <w:t xml:space="preserve"> </w:t>
      </w:r>
      <w:proofErr w:type="spellStart"/>
      <w:r w:rsidR="00FA0BB0" w:rsidRPr="006A2FAB">
        <w:rPr>
          <w:rFonts w:ascii="Garamond" w:hAnsi="Garamond" w:cs="ƒX`Œ˛"/>
          <w:sz w:val="20"/>
          <w:szCs w:val="20"/>
        </w:rPr>
        <w:t>Din</w:t>
      </w:r>
      <w:proofErr w:type="spellEnd"/>
      <w:r w:rsidR="00FA0BB0" w:rsidRPr="006A2FAB">
        <w:rPr>
          <w:rFonts w:ascii="Garamond" w:hAnsi="Garamond" w:cs="ƒX`Œ˛"/>
          <w:sz w:val="20"/>
          <w:szCs w:val="20"/>
        </w:rPr>
        <w:t xml:space="preserve"> c. IDF Chief of General Staff</w:t>
      </w:r>
      <w:r w:rsidR="00C7638C" w:rsidRPr="006A2FAB">
        <w:rPr>
          <w:rFonts w:ascii="Garamond" w:hAnsi="Garamond" w:cs="ƒX`Œ˛"/>
          <w:sz w:val="20"/>
          <w:szCs w:val="20"/>
        </w:rPr>
        <w:t xml:space="preserve">, </w:t>
      </w:r>
      <w:r w:rsidR="00C7638C" w:rsidRPr="006A2FAB">
        <w:rPr>
          <w:rFonts w:ascii="Garamond" w:hAnsi="Garamond" w:cs="ƒX`Œ˛"/>
          <w:i/>
          <w:iCs/>
          <w:sz w:val="20"/>
          <w:szCs w:val="20"/>
        </w:rPr>
        <w:t>RGDIP</w:t>
      </w:r>
      <w:r w:rsidR="00C7638C" w:rsidRPr="006A2FAB">
        <w:rPr>
          <w:rFonts w:ascii="Garamond" w:hAnsi="Garamond" w:cs="ƒX`Œ˛"/>
          <w:sz w:val="20"/>
          <w:szCs w:val="20"/>
        </w:rPr>
        <w:t xml:space="preserve"> 2018-4.</w:t>
      </w:r>
    </w:p>
    <w:p w14:paraId="77BAE9EA" w14:textId="77777777" w:rsidR="002F3C95" w:rsidRPr="00C7638C" w:rsidRDefault="002F3C95" w:rsidP="002F3C95">
      <w:pPr>
        <w:autoSpaceDE w:val="0"/>
        <w:autoSpaceDN w:val="0"/>
        <w:adjustRightInd w:val="0"/>
        <w:jc w:val="both"/>
        <w:rPr>
          <w:rFonts w:ascii="Garamond" w:hAnsi="Garamond" w:cs="ƒX`Œ˛"/>
          <w:sz w:val="20"/>
          <w:szCs w:val="20"/>
        </w:rPr>
      </w:pPr>
    </w:p>
    <w:p w14:paraId="1AB9165B" w14:textId="5A4BC71E" w:rsidR="00FA0BB0" w:rsidRDefault="005332B9" w:rsidP="002F3C95">
      <w:pPr>
        <w:jc w:val="both"/>
        <w:rPr>
          <w:rFonts w:ascii="Garamond" w:hAnsi="Garamond"/>
          <w:sz w:val="20"/>
          <w:szCs w:val="20"/>
        </w:rPr>
      </w:pPr>
      <w:r w:rsidRPr="005332B9">
        <w:rPr>
          <w:rFonts w:ascii="Garamond" w:hAnsi="Garamond"/>
          <w:smallCaps/>
          <w:sz w:val="20"/>
          <w:szCs w:val="20"/>
        </w:rPr>
        <w:t>1</w:t>
      </w:r>
      <w:r w:rsidR="004846F6">
        <w:rPr>
          <w:rFonts w:ascii="Garamond" w:hAnsi="Garamond"/>
          <w:smallCaps/>
          <w:sz w:val="20"/>
          <w:szCs w:val="20"/>
        </w:rPr>
        <w:t>9</w:t>
      </w:r>
      <w:r w:rsidRPr="005332B9">
        <w:rPr>
          <w:rFonts w:ascii="Garamond" w:hAnsi="Garamond"/>
          <w:smallCaps/>
          <w:sz w:val="16"/>
          <w:szCs w:val="16"/>
        </w:rPr>
        <w:t xml:space="preserve">. </w:t>
      </w:r>
      <w:r w:rsidR="00FA0BB0" w:rsidRPr="005332B9">
        <w:rPr>
          <w:rFonts w:ascii="Garamond" w:hAnsi="Garamond"/>
          <w:smallCaps/>
          <w:sz w:val="16"/>
          <w:szCs w:val="16"/>
        </w:rPr>
        <w:t>Suède</w:t>
      </w:r>
      <w:r w:rsidR="00FA0BB0" w:rsidRPr="004E64DB">
        <w:rPr>
          <w:rFonts w:ascii="Garamond" w:hAnsi="Garamond"/>
          <w:sz w:val="20"/>
          <w:szCs w:val="20"/>
        </w:rPr>
        <w:t xml:space="preserve">. Tribunal du district de Stockholm, arrêt du 16 février 2017, </w:t>
      </w:r>
      <w:proofErr w:type="spellStart"/>
      <w:r w:rsidR="00FA0BB0" w:rsidRPr="004E64DB">
        <w:rPr>
          <w:rFonts w:ascii="Garamond" w:hAnsi="Garamond"/>
          <w:i/>
          <w:sz w:val="20"/>
          <w:szCs w:val="20"/>
        </w:rPr>
        <w:t>Haisam</w:t>
      </w:r>
      <w:proofErr w:type="spellEnd"/>
      <w:r w:rsidR="00FA0BB0" w:rsidRPr="004E64DB">
        <w:rPr>
          <w:rFonts w:ascii="Garamond" w:hAnsi="Garamond"/>
          <w:i/>
          <w:sz w:val="20"/>
          <w:szCs w:val="20"/>
        </w:rPr>
        <w:t xml:space="preserve"> Omar </w:t>
      </w:r>
      <w:proofErr w:type="spellStart"/>
      <w:r w:rsidR="00FA0BB0" w:rsidRPr="004E64DB">
        <w:rPr>
          <w:rFonts w:ascii="Garamond" w:hAnsi="Garamond"/>
          <w:i/>
          <w:sz w:val="20"/>
          <w:szCs w:val="20"/>
        </w:rPr>
        <w:t>Sakhanh</w:t>
      </w:r>
      <w:proofErr w:type="spellEnd"/>
      <w:r w:rsidR="00C7638C">
        <w:rPr>
          <w:rFonts w:ascii="Garamond" w:hAnsi="Garamond"/>
          <w:sz w:val="20"/>
          <w:szCs w:val="20"/>
        </w:rPr>
        <w:t xml:space="preserve">, </w:t>
      </w:r>
      <w:r w:rsidR="00FA0BB0" w:rsidRPr="005332B9">
        <w:rPr>
          <w:rFonts w:ascii="Garamond" w:hAnsi="Garamond"/>
          <w:i/>
          <w:iCs/>
          <w:sz w:val="20"/>
          <w:szCs w:val="20"/>
        </w:rPr>
        <w:t>RGDIP</w:t>
      </w:r>
      <w:r w:rsidR="00FA0BB0" w:rsidRPr="004E64DB">
        <w:rPr>
          <w:rFonts w:ascii="Garamond" w:hAnsi="Garamond"/>
          <w:sz w:val="20"/>
          <w:szCs w:val="20"/>
        </w:rPr>
        <w:t xml:space="preserve"> 2017-4</w:t>
      </w:r>
      <w:r w:rsidR="00C7638C">
        <w:rPr>
          <w:rFonts w:ascii="Garamond" w:hAnsi="Garamond"/>
          <w:sz w:val="20"/>
          <w:szCs w:val="20"/>
        </w:rPr>
        <w:t>.</w:t>
      </w:r>
    </w:p>
    <w:p w14:paraId="56FF3A05" w14:textId="77777777" w:rsidR="002F3C95" w:rsidRPr="004E64DB" w:rsidRDefault="002F3C95" w:rsidP="002F3C95">
      <w:pPr>
        <w:jc w:val="both"/>
        <w:rPr>
          <w:rFonts w:ascii="Garamond" w:hAnsi="Garamond"/>
          <w:color w:val="101010"/>
          <w:sz w:val="20"/>
          <w:szCs w:val="20"/>
          <w:bdr w:val="none" w:sz="0" w:space="0" w:color="auto" w:frame="1"/>
        </w:rPr>
      </w:pPr>
    </w:p>
    <w:p w14:paraId="640ACFEA" w14:textId="7BFD601D" w:rsidR="00FA0BB0" w:rsidRDefault="005332B9" w:rsidP="002F3C95">
      <w:pPr>
        <w:jc w:val="both"/>
        <w:rPr>
          <w:rFonts w:ascii="Garamond" w:hAnsi="Garamond"/>
          <w:sz w:val="20"/>
          <w:szCs w:val="20"/>
        </w:rPr>
      </w:pPr>
      <w:r>
        <w:rPr>
          <w:rFonts w:ascii="Garamond" w:hAnsi="Garamond"/>
          <w:smallCaps/>
          <w:sz w:val="20"/>
          <w:szCs w:val="20"/>
        </w:rPr>
        <w:t>1</w:t>
      </w:r>
      <w:r w:rsidR="004846F6">
        <w:rPr>
          <w:rFonts w:ascii="Garamond" w:hAnsi="Garamond"/>
          <w:smallCaps/>
          <w:sz w:val="20"/>
          <w:szCs w:val="20"/>
        </w:rPr>
        <w:t>8</w:t>
      </w:r>
      <w:r>
        <w:rPr>
          <w:rFonts w:ascii="Garamond" w:hAnsi="Garamond"/>
          <w:smallCaps/>
          <w:sz w:val="20"/>
          <w:szCs w:val="20"/>
        </w:rPr>
        <w:t xml:space="preserve">. </w:t>
      </w:r>
      <w:r w:rsidR="00FA0BB0" w:rsidRPr="005332B9">
        <w:rPr>
          <w:rFonts w:ascii="Garamond" w:hAnsi="Garamond"/>
          <w:smallCaps/>
          <w:sz w:val="16"/>
          <w:szCs w:val="16"/>
        </w:rPr>
        <w:t>Espagne</w:t>
      </w:r>
      <w:r w:rsidR="00FA0BB0" w:rsidRPr="005332B9">
        <w:rPr>
          <w:rFonts w:ascii="Garamond" w:hAnsi="Garamond"/>
          <w:sz w:val="16"/>
          <w:szCs w:val="16"/>
        </w:rPr>
        <w:t>.</w:t>
      </w:r>
      <w:r w:rsidR="00FA0BB0" w:rsidRPr="004E64DB">
        <w:rPr>
          <w:rFonts w:ascii="Garamond" w:hAnsi="Garamond"/>
          <w:sz w:val="20"/>
          <w:szCs w:val="20"/>
        </w:rPr>
        <w:t xml:space="preserve"> Audience nationale, tribunal d’instruction central n°06, auto du 27 mars 2017, 11/2017</w:t>
      </w:r>
      <w:r w:rsidR="00C7638C">
        <w:rPr>
          <w:rFonts w:ascii="Garamond" w:hAnsi="Garamond"/>
          <w:sz w:val="20"/>
          <w:szCs w:val="20"/>
        </w:rPr>
        <w:t xml:space="preserve">, </w:t>
      </w:r>
      <w:r w:rsidR="00FA0BB0" w:rsidRPr="005332B9">
        <w:rPr>
          <w:rFonts w:ascii="Garamond" w:hAnsi="Garamond"/>
          <w:i/>
          <w:iCs/>
          <w:sz w:val="20"/>
          <w:szCs w:val="20"/>
        </w:rPr>
        <w:t>RGDIP</w:t>
      </w:r>
      <w:r w:rsidR="00FA0BB0" w:rsidRPr="004E64DB">
        <w:rPr>
          <w:rFonts w:ascii="Garamond" w:hAnsi="Garamond"/>
          <w:sz w:val="20"/>
          <w:szCs w:val="20"/>
        </w:rPr>
        <w:t xml:space="preserve"> 2017-4</w:t>
      </w:r>
      <w:r>
        <w:rPr>
          <w:rFonts w:ascii="Garamond" w:hAnsi="Garamond"/>
          <w:sz w:val="20"/>
          <w:szCs w:val="20"/>
        </w:rPr>
        <w:t>.</w:t>
      </w:r>
    </w:p>
    <w:p w14:paraId="722833CE" w14:textId="77777777" w:rsidR="002F3C95" w:rsidRPr="004E64DB" w:rsidRDefault="002F3C95" w:rsidP="002F3C95">
      <w:pPr>
        <w:jc w:val="both"/>
        <w:rPr>
          <w:rFonts w:ascii="Garamond" w:hAnsi="Garamond"/>
          <w:color w:val="101010"/>
          <w:sz w:val="20"/>
          <w:szCs w:val="20"/>
          <w:bdr w:val="none" w:sz="0" w:space="0" w:color="auto" w:frame="1"/>
        </w:rPr>
      </w:pPr>
    </w:p>
    <w:p w14:paraId="12D546E8" w14:textId="1546D14D" w:rsidR="00FA0BB0" w:rsidRDefault="005332B9" w:rsidP="002F3C95">
      <w:pPr>
        <w:jc w:val="both"/>
        <w:rPr>
          <w:rFonts w:ascii="Garamond" w:hAnsi="Garamond"/>
          <w:sz w:val="20"/>
          <w:szCs w:val="20"/>
          <w:lang w:val="en-US"/>
        </w:rPr>
      </w:pPr>
      <w:r>
        <w:rPr>
          <w:rFonts w:ascii="Garamond" w:hAnsi="Garamond"/>
          <w:smallCaps/>
          <w:sz w:val="20"/>
          <w:szCs w:val="20"/>
          <w:lang w:val="en-US"/>
        </w:rPr>
        <w:t>1</w:t>
      </w:r>
      <w:r w:rsidR="004846F6">
        <w:rPr>
          <w:rFonts w:ascii="Garamond" w:hAnsi="Garamond"/>
          <w:smallCaps/>
          <w:sz w:val="20"/>
          <w:szCs w:val="20"/>
          <w:lang w:val="en-US"/>
        </w:rPr>
        <w:t>7</w:t>
      </w:r>
      <w:r>
        <w:rPr>
          <w:rFonts w:ascii="Garamond" w:hAnsi="Garamond"/>
          <w:smallCaps/>
          <w:sz w:val="20"/>
          <w:szCs w:val="20"/>
          <w:lang w:val="en-US"/>
        </w:rPr>
        <w:t xml:space="preserve">. </w:t>
      </w:r>
      <w:proofErr w:type="spellStart"/>
      <w:r w:rsidR="00FA0BB0" w:rsidRPr="00B60C76">
        <w:rPr>
          <w:rFonts w:ascii="Garamond" w:hAnsi="Garamond"/>
          <w:smallCaps/>
          <w:sz w:val="16"/>
          <w:szCs w:val="16"/>
          <w:lang w:val="en-US"/>
        </w:rPr>
        <w:t>royaume</w:t>
      </w:r>
      <w:proofErr w:type="spellEnd"/>
      <w:r w:rsidR="00FA0BB0" w:rsidRPr="00B60C76">
        <w:rPr>
          <w:rFonts w:ascii="Garamond" w:hAnsi="Garamond"/>
          <w:smallCaps/>
          <w:sz w:val="16"/>
          <w:szCs w:val="16"/>
          <w:lang w:val="en-US"/>
        </w:rPr>
        <w:t>-uni</w:t>
      </w:r>
      <w:r w:rsidR="00FA0BB0" w:rsidRPr="004E64DB">
        <w:rPr>
          <w:rFonts w:ascii="Garamond" w:hAnsi="Garamond"/>
          <w:sz w:val="20"/>
          <w:szCs w:val="20"/>
          <w:lang w:val="en-US"/>
        </w:rPr>
        <w:t xml:space="preserve">. </w:t>
      </w:r>
      <w:proofErr w:type="spellStart"/>
      <w:r w:rsidR="00FA0BB0" w:rsidRPr="004E64DB">
        <w:rPr>
          <w:rFonts w:ascii="Garamond" w:hAnsi="Garamond"/>
          <w:sz w:val="20"/>
          <w:szCs w:val="20"/>
          <w:lang w:val="en-US"/>
        </w:rPr>
        <w:t>Cour</w:t>
      </w:r>
      <w:proofErr w:type="spellEnd"/>
      <w:r w:rsidR="00FA0BB0" w:rsidRPr="004E64DB">
        <w:rPr>
          <w:rFonts w:ascii="Garamond" w:hAnsi="Garamond"/>
          <w:sz w:val="20"/>
          <w:szCs w:val="20"/>
          <w:lang w:val="en-US"/>
        </w:rPr>
        <w:t xml:space="preserve"> </w:t>
      </w:r>
      <w:proofErr w:type="spellStart"/>
      <w:r w:rsidR="00FA0BB0" w:rsidRPr="004E64DB">
        <w:rPr>
          <w:rFonts w:ascii="Garamond" w:hAnsi="Garamond"/>
          <w:sz w:val="20"/>
          <w:szCs w:val="20"/>
          <w:lang w:val="en-US"/>
        </w:rPr>
        <w:t>suprême</w:t>
      </w:r>
      <w:proofErr w:type="spellEnd"/>
      <w:r w:rsidR="00FA0BB0" w:rsidRPr="004E64DB">
        <w:rPr>
          <w:rFonts w:ascii="Garamond" w:hAnsi="Garamond"/>
          <w:sz w:val="20"/>
          <w:szCs w:val="20"/>
          <w:lang w:val="en-US"/>
        </w:rPr>
        <w:t xml:space="preserve">, </w:t>
      </w:r>
      <w:proofErr w:type="spellStart"/>
      <w:r w:rsidR="00FA0BB0" w:rsidRPr="004E64DB">
        <w:rPr>
          <w:rFonts w:ascii="Garamond" w:hAnsi="Garamond"/>
          <w:sz w:val="20"/>
          <w:szCs w:val="20"/>
          <w:lang w:val="en-US"/>
        </w:rPr>
        <w:t>arrêt</w:t>
      </w:r>
      <w:proofErr w:type="spellEnd"/>
      <w:r w:rsidR="00FA0BB0" w:rsidRPr="004E64DB">
        <w:rPr>
          <w:rFonts w:ascii="Garamond" w:hAnsi="Garamond"/>
          <w:sz w:val="20"/>
          <w:szCs w:val="20"/>
          <w:lang w:val="en-US"/>
        </w:rPr>
        <w:t xml:space="preserve"> du 29 </w:t>
      </w:r>
      <w:proofErr w:type="spellStart"/>
      <w:r w:rsidR="00FA0BB0" w:rsidRPr="004E64DB">
        <w:rPr>
          <w:rFonts w:ascii="Garamond" w:hAnsi="Garamond"/>
          <w:sz w:val="20"/>
          <w:szCs w:val="20"/>
          <w:lang w:val="en-US"/>
        </w:rPr>
        <w:t>juin</w:t>
      </w:r>
      <w:proofErr w:type="spellEnd"/>
      <w:r w:rsidR="00FA0BB0" w:rsidRPr="004E64DB">
        <w:rPr>
          <w:rFonts w:ascii="Garamond" w:hAnsi="Garamond"/>
          <w:sz w:val="20"/>
          <w:szCs w:val="20"/>
          <w:lang w:val="en-US"/>
        </w:rPr>
        <w:t xml:space="preserve"> 2016, </w:t>
      </w:r>
      <w:r w:rsidR="00FA0BB0" w:rsidRPr="004E64DB">
        <w:rPr>
          <w:rFonts w:ascii="Garamond" w:hAnsi="Garamond"/>
          <w:i/>
          <w:sz w:val="20"/>
          <w:szCs w:val="20"/>
          <w:lang w:val="en-US"/>
        </w:rPr>
        <w:t xml:space="preserve">R (on the application of </w:t>
      </w:r>
      <w:proofErr w:type="spellStart"/>
      <w:r w:rsidR="00FA0BB0" w:rsidRPr="004E64DB">
        <w:rPr>
          <w:rFonts w:ascii="Garamond" w:hAnsi="Garamond"/>
          <w:i/>
          <w:sz w:val="20"/>
          <w:szCs w:val="20"/>
          <w:lang w:val="en-US"/>
        </w:rPr>
        <w:t>Bancoult</w:t>
      </w:r>
      <w:proofErr w:type="spellEnd"/>
      <w:r w:rsidR="00FA0BB0" w:rsidRPr="004E64DB">
        <w:rPr>
          <w:rFonts w:ascii="Garamond" w:hAnsi="Garamond"/>
          <w:i/>
          <w:sz w:val="20"/>
          <w:szCs w:val="20"/>
          <w:lang w:val="en-US"/>
        </w:rPr>
        <w:t xml:space="preserve"> (No 2)) (Appellant) v Secretary of State for Foreign and Commonwealth Affairs (Respondent)</w:t>
      </w:r>
      <w:r w:rsidR="00FA0BB0" w:rsidRPr="004E64DB">
        <w:rPr>
          <w:rFonts w:ascii="Garamond" w:hAnsi="Garamond"/>
          <w:sz w:val="20"/>
          <w:szCs w:val="20"/>
          <w:lang w:val="en-US"/>
        </w:rPr>
        <w:t>, [2016] UKSC 35</w:t>
      </w:r>
      <w:r w:rsidR="00C7638C" w:rsidRPr="00C7638C">
        <w:rPr>
          <w:rFonts w:ascii="Garamond" w:hAnsi="Garamond"/>
          <w:sz w:val="20"/>
          <w:szCs w:val="20"/>
          <w:lang w:val="en-US"/>
        </w:rPr>
        <w:t xml:space="preserve">, </w:t>
      </w:r>
      <w:r w:rsidR="00FA0BB0" w:rsidRPr="005332B9">
        <w:rPr>
          <w:rFonts w:ascii="Garamond" w:hAnsi="Garamond"/>
          <w:i/>
          <w:iCs/>
          <w:sz w:val="20"/>
          <w:szCs w:val="20"/>
          <w:lang w:val="en-US"/>
        </w:rPr>
        <w:t>RGDIP</w:t>
      </w:r>
      <w:r w:rsidR="00FA0BB0" w:rsidRPr="00C7638C">
        <w:rPr>
          <w:rFonts w:ascii="Garamond" w:hAnsi="Garamond"/>
          <w:sz w:val="20"/>
          <w:szCs w:val="20"/>
          <w:lang w:val="en-US"/>
        </w:rPr>
        <w:t xml:space="preserve"> 2016-4.</w:t>
      </w:r>
    </w:p>
    <w:p w14:paraId="4A7B7EF2" w14:textId="77777777" w:rsidR="002F3C95" w:rsidRPr="00C7638C" w:rsidRDefault="002F3C95" w:rsidP="002F3C95">
      <w:pPr>
        <w:jc w:val="both"/>
        <w:rPr>
          <w:rFonts w:ascii="Garamond" w:hAnsi="Garamond"/>
          <w:color w:val="101010"/>
          <w:sz w:val="20"/>
          <w:szCs w:val="20"/>
          <w:bdr w:val="none" w:sz="0" w:space="0" w:color="auto" w:frame="1"/>
          <w:lang w:val="en-US"/>
        </w:rPr>
      </w:pPr>
    </w:p>
    <w:p w14:paraId="3DAF61C7" w14:textId="5DA8CCAD" w:rsidR="00FA0BB0" w:rsidRDefault="005332B9" w:rsidP="002F3C95">
      <w:pPr>
        <w:jc w:val="both"/>
        <w:rPr>
          <w:rFonts w:ascii="Garamond" w:hAnsi="Garamond"/>
          <w:sz w:val="20"/>
          <w:szCs w:val="20"/>
        </w:rPr>
      </w:pPr>
      <w:r>
        <w:rPr>
          <w:rFonts w:ascii="Garamond" w:hAnsi="Garamond"/>
          <w:smallCaps/>
          <w:sz w:val="20"/>
          <w:szCs w:val="20"/>
        </w:rPr>
        <w:t>1</w:t>
      </w:r>
      <w:r w:rsidR="004846F6">
        <w:rPr>
          <w:rFonts w:ascii="Garamond" w:hAnsi="Garamond"/>
          <w:smallCaps/>
          <w:sz w:val="20"/>
          <w:szCs w:val="20"/>
        </w:rPr>
        <w:t>6</w:t>
      </w:r>
      <w:r>
        <w:rPr>
          <w:rFonts w:ascii="Garamond" w:hAnsi="Garamond"/>
          <w:smallCaps/>
          <w:sz w:val="20"/>
          <w:szCs w:val="20"/>
        </w:rPr>
        <w:t xml:space="preserve">. </w:t>
      </w:r>
      <w:r w:rsidR="00FA0BB0" w:rsidRPr="005332B9">
        <w:rPr>
          <w:rFonts w:ascii="Garamond" w:hAnsi="Garamond"/>
          <w:smallCaps/>
          <w:sz w:val="16"/>
          <w:szCs w:val="16"/>
        </w:rPr>
        <w:t>Espagne</w:t>
      </w:r>
      <w:r w:rsidR="00FA0BB0" w:rsidRPr="005332B9">
        <w:rPr>
          <w:rFonts w:ascii="Garamond" w:hAnsi="Garamond"/>
          <w:sz w:val="16"/>
          <w:szCs w:val="16"/>
        </w:rPr>
        <w:t>.</w:t>
      </w:r>
      <w:r w:rsidR="00FA0BB0" w:rsidRPr="004E64DB">
        <w:rPr>
          <w:rFonts w:ascii="Garamond" w:hAnsi="Garamond"/>
          <w:sz w:val="20"/>
          <w:szCs w:val="20"/>
        </w:rPr>
        <w:t xml:space="preserve"> Tribunal suprême (</w:t>
      </w:r>
      <w:r w:rsidR="00FA0BB0" w:rsidRPr="004E64DB">
        <w:rPr>
          <w:rFonts w:ascii="Garamond" w:hAnsi="Garamond"/>
          <w:i/>
          <w:sz w:val="20"/>
          <w:szCs w:val="20"/>
        </w:rPr>
        <w:t xml:space="preserve">sala de </w:t>
      </w:r>
      <w:proofErr w:type="spellStart"/>
      <w:r w:rsidR="00FA0BB0" w:rsidRPr="004E64DB">
        <w:rPr>
          <w:rFonts w:ascii="Garamond" w:hAnsi="Garamond"/>
          <w:i/>
          <w:sz w:val="20"/>
          <w:szCs w:val="20"/>
        </w:rPr>
        <w:t>lo</w:t>
      </w:r>
      <w:proofErr w:type="spellEnd"/>
      <w:r w:rsidR="00FA0BB0" w:rsidRPr="004E64DB">
        <w:rPr>
          <w:rFonts w:ascii="Garamond" w:hAnsi="Garamond"/>
          <w:i/>
          <w:sz w:val="20"/>
          <w:szCs w:val="20"/>
        </w:rPr>
        <w:t xml:space="preserve"> </w:t>
      </w:r>
      <w:proofErr w:type="spellStart"/>
      <w:r w:rsidR="00FA0BB0" w:rsidRPr="004E64DB">
        <w:rPr>
          <w:rFonts w:ascii="Garamond" w:hAnsi="Garamond"/>
          <w:i/>
          <w:sz w:val="20"/>
          <w:szCs w:val="20"/>
        </w:rPr>
        <w:t>penal</w:t>
      </w:r>
      <w:proofErr w:type="spellEnd"/>
      <w:r w:rsidR="00FA0BB0" w:rsidRPr="004E64DB">
        <w:rPr>
          <w:rFonts w:ascii="Garamond" w:hAnsi="Garamond"/>
          <w:sz w:val="20"/>
          <w:szCs w:val="20"/>
        </w:rPr>
        <w:t>), auto 1569/2015 du 18 mai 2016</w:t>
      </w:r>
      <w:r w:rsidR="00C7638C">
        <w:rPr>
          <w:rFonts w:ascii="Garamond" w:hAnsi="Garamond"/>
          <w:sz w:val="20"/>
          <w:szCs w:val="20"/>
        </w:rPr>
        <w:t xml:space="preserve">, </w:t>
      </w:r>
      <w:r w:rsidR="00FA0BB0" w:rsidRPr="005332B9">
        <w:rPr>
          <w:rFonts w:ascii="Garamond" w:hAnsi="Garamond"/>
          <w:i/>
          <w:iCs/>
          <w:sz w:val="20"/>
          <w:szCs w:val="20"/>
        </w:rPr>
        <w:t>RGDIP</w:t>
      </w:r>
      <w:r w:rsidR="00FA0BB0" w:rsidRPr="004E64DB">
        <w:rPr>
          <w:rFonts w:ascii="Garamond" w:hAnsi="Garamond"/>
          <w:sz w:val="20"/>
          <w:szCs w:val="20"/>
        </w:rPr>
        <w:t xml:space="preserve"> 2016-4.</w:t>
      </w:r>
    </w:p>
    <w:p w14:paraId="2D5591DF" w14:textId="77777777" w:rsidR="002F3C95" w:rsidRPr="004E64DB" w:rsidRDefault="002F3C95" w:rsidP="002F3C95">
      <w:pPr>
        <w:jc w:val="both"/>
        <w:rPr>
          <w:rFonts w:ascii="Garamond" w:hAnsi="Garamond"/>
          <w:color w:val="101010"/>
          <w:sz w:val="20"/>
          <w:szCs w:val="20"/>
          <w:bdr w:val="none" w:sz="0" w:space="0" w:color="auto" w:frame="1"/>
        </w:rPr>
      </w:pPr>
    </w:p>
    <w:p w14:paraId="164B1BF5" w14:textId="2EBBECB3" w:rsidR="00FA0BB0" w:rsidRDefault="005332B9" w:rsidP="002F3C95">
      <w:pPr>
        <w:jc w:val="both"/>
        <w:rPr>
          <w:rFonts w:ascii="Garamond" w:hAnsi="Garamond"/>
          <w:sz w:val="20"/>
          <w:szCs w:val="20"/>
        </w:rPr>
      </w:pPr>
      <w:r>
        <w:rPr>
          <w:rFonts w:ascii="Garamond" w:hAnsi="Garamond"/>
          <w:smallCaps/>
          <w:sz w:val="20"/>
          <w:szCs w:val="20"/>
        </w:rPr>
        <w:t>1</w:t>
      </w:r>
      <w:r w:rsidR="004846F6">
        <w:rPr>
          <w:rFonts w:ascii="Garamond" w:hAnsi="Garamond"/>
          <w:smallCaps/>
          <w:sz w:val="20"/>
          <w:szCs w:val="20"/>
        </w:rPr>
        <w:t>5</w:t>
      </w:r>
      <w:r>
        <w:rPr>
          <w:rFonts w:ascii="Garamond" w:hAnsi="Garamond"/>
          <w:smallCaps/>
          <w:sz w:val="20"/>
          <w:szCs w:val="20"/>
        </w:rPr>
        <w:t xml:space="preserve">. </w:t>
      </w:r>
      <w:r w:rsidR="00FA0BB0" w:rsidRPr="005332B9">
        <w:rPr>
          <w:rFonts w:ascii="Garamond" w:hAnsi="Garamond"/>
          <w:smallCaps/>
          <w:sz w:val="16"/>
          <w:szCs w:val="16"/>
        </w:rPr>
        <w:t>Espagne</w:t>
      </w:r>
      <w:r w:rsidR="00FA0BB0" w:rsidRPr="004E64DB">
        <w:rPr>
          <w:rFonts w:ascii="Garamond" w:hAnsi="Garamond"/>
          <w:sz w:val="20"/>
          <w:szCs w:val="20"/>
        </w:rPr>
        <w:t>. Audience nationale, auto 97/2010 du 4 janvier 2016</w:t>
      </w:r>
      <w:r w:rsidR="00C7638C">
        <w:rPr>
          <w:rFonts w:ascii="Garamond" w:hAnsi="Garamond"/>
          <w:sz w:val="20"/>
          <w:szCs w:val="20"/>
        </w:rPr>
        <w:t xml:space="preserve">, </w:t>
      </w:r>
      <w:r w:rsidR="00FA0BB0" w:rsidRPr="005332B9">
        <w:rPr>
          <w:rFonts w:ascii="Garamond" w:hAnsi="Garamond"/>
          <w:i/>
          <w:iCs/>
          <w:sz w:val="20"/>
          <w:szCs w:val="20"/>
        </w:rPr>
        <w:t>RGDIP</w:t>
      </w:r>
      <w:r>
        <w:rPr>
          <w:rFonts w:ascii="Garamond" w:hAnsi="Garamond"/>
          <w:sz w:val="20"/>
          <w:szCs w:val="20"/>
        </w:rPr>
        <w:t xml:space="preserve"> </w:t>
      </w:r>
      <w:r w:rsidR="00FA0BB0" w:rsidRPr="004E64DB">
        <w:rPr>
          <w:rFonts w:ascii="Garamond" w:hAnsi="Garamond"/>
          <w:sz w:val="20"/>
          <w:szCs w:val="20"/>
        </w:rPr>
        <w:t>2016-4.</w:t>
      </w:r>
    </w:p>
    <w:p w14:paraId="446004D5" w14:textId="77777777" w:rsidR="002F3C95" w:rsidRPr="004E64DB" w:rsidRDefault="002F3C95" w:rsidP="002F3C95">
      <w:pPr>
        <w:jc w:val="both"/>
        <w:rPr>
          <w:rFonts w:ascii="Garamond" w:hAnsi="Garamond"/>
          <w:color w:val="101010"/>
          <w:sz w:val="20"/>
          <w:szCs w:val="20"/>
          <w:bdr w:val="none" w:sz="0" w:space="0" w:color="auto" w:frame="1"/>
        </w:rPr>
      </w:pPr>
    </w:p>
    <w:p w14:paraId="07B6178E" w14:textId="433D1F0D" w:rsidR="005272E9" w:rsidRPr="004E64DB" w:rsidRDefault="005332B9" w:rsidP="002F3C95">
      <w:pPr>
        <w:autoSpaceDE w:val="0"/>
        <w:autoSpaceDN w:val="0"/>
        <w:adjustRightInd w:val="0"/>
        <w:jc w:val="both"/>
        <w:rPr>
          <w:rFonts w:ascii="Garamond" w:hAnsi="Garamond"/>
          <w:sz w:val="20"/>
          <w:szCs w:val="20"/>
        </w:rPr>
      </w:pPr>
      <w:r>
        <w:rPr>
          <w:rFonts w:ascii="Garamond" w:hAnsi="Garamond"/>
          <w:sz w:val="20"/>
          <w:szCs w:val="20"/>
        </w:rPr>
        <w:t>1</w:t>
      </w:r>
      <w:r w:rsidR="004846F6">
        <w:rPr>
          <w:rFonts w:ascii="Garamond" w:hAnsi="Garamond"/>
          <w:sz w:val="20"/>
          <w:szCs w:val="20"/>
        </w:rPr>
        <w:t>4</w:t>
      </w:r>
      <w:r>
        <w:rPr>
          <w:rFonts w:ascii="Garamond" w:hAnsi="Garamond"/>
          <w:sz w:val="20"/>
          <w:szCs w:val="20"/>
        </w:rPr>
        <w:t xml:space="preserve">. </w:t>
      </w:r>
      <w:r w:rsidR="005272E9" w:rsidRPr="00A652D8">
        <w:rPr>
          <w:rFonts w:ascii="Garamond" w:hAnsi="Garamond"/>
          <w:sz w:val="13"/>
          <w:szCs w:val="13"/>
        </w:rPr>
        <w:t>COLOMBIE</w:t>
      </w:r>
      <w:r w:rsidR="005272E9" w:rsidRPr="005332B9">
        <w:rPr>
          <w:rFonts w:ascii="Garamond" w:hAnsi="Garamond"/>
          <w:sz w:val="16"/>
          <w:szCs w:val="16"/>
        </w:rPr>
        <w:t>.</w:t>
      </w:r>
      <w:r w:rsidR="005272E9" w:rsidRPr="004E64DB">
        <w:rPr>
          <w:rFonts w:ascii="Garamond" w:hAnsi="Garamond"/>
          <w:sz w:val="20"/>
          <w:szCs w:val="20"/>
        </w:rPr>
        <w:t xml:space="preserve"> Cour constitutionnelle, sentence C-018/15 du 21 janvier 2015, M. P.</w:t>
      </w:r>
      <w:r w:rsidR="00C7638C">
        <w:rPr>
          <w:rFonts w:ascii="Garamond" w:hAnsi="Garamond"/>
          <w:sz w:val="20"/>
          <w:szCs w:val="20"/>
        </w:rPr>
        <w:t xml:space="preserve"> </w:t>
      </w:r>
      <w:r w:rsidR="005272E9" w:rsidRPr="00C7638C">
        <w:rPr>
          <w:rFonts w:ascii="Garamond" w:hAnsi="Garamond"/>
          <w:sz w:val="20"/>
          <w:szCs w:val="20"/>
        </w:rPr>
        <w:t xml:space="preserve">Gabriel Eduardo Mendoza </w:t>
      </w:r>
      <w:proofErr w:type="spellStart"/>
      <w:r w:rsidR="005272E9" w:rsidRPr="00C7638C">
        <w:rPr>
          <w:rFonts w:ascii="Garamond" w:hAnsi="Garamond"/>
          <w:sz w:val="20"/>
          <w:szCs w:val="20"/>
        </w:rPr>
        <w:t>Martelo</w:t>
      </w:r>
      <w:proofErr w:type="spellEnd"/>
      <w:r w:rsidR="005272E9" w:rsidRPr="00C7638C">
        <w:rPr>
          <w:rFonts w:ascii="Garamond" w:hAnsi="Garamond"/>
          <w:sz w:val="20"/>
          <w:szCs w:val="20"/>
        </w:rPr>
        <w:t xml:space="preserve"> (</w:t>
      </w:r>
      <w:proofErr w:type="spellStart"/>
      <w:r w:rsidR="005272E9" w:rsidRPr="00C7638C">
        <w:rPr>
          <w:rFonts w:ascii="Garamond" w:hAnsi="Garamond"/>
          <w:sz w:val="20"/>
          <w:szCs w:val="20"/>
        </w:rPr>
        <w:t>Exp</w:t>
      </w:r>
      <w:proofErr w:type="spellEnd"/>
      <w:r w:rsidR="005272E9" w:rsidRPr="00C7638C">
        <w:rPr>
          <w:rFonts w:ascii="Garamond" w:hAnsi="Garamond"/>
          <w:sz w:val="20"/>
          <w:szCs w:val="20"/>
        </w:rPr>
        <w:t xml:space="preserve">. </w:t>
      </w:r>
      <w:r w:rsidR="005272E9" w:rsidRPr="004E64DB">
        <w:rPr>
          <w:rFonts w:ascii="Garamond" w:hAnsi="Garamond"/>
          <w:sz w:val="20"/>
          <w:szCs w:val="20"/>
        </w:rPr>
        <w:t>D-10.309)</w:t>
      </w:r>
      <w:r w:rsidR="00C7638C">
        <w:rPr>
          <w:rFonts w:ascii="Garamond" w:hAnsi="Garamond"/>
          <w:sz w:val="20"/>
          <w:szCs w:val="20"/>
        </w:rPr>
        <w:t xml:space="preserve">, </w:t>
      </w:r>
      <w:r w:rsidR="005272E9" w:rsidRPr="005332B9">
        <w:rPr>
          <w:rFonts w:ascii="Garamond" w:hAnsi="Garamond"/>
          <w:i/>
          <w:iCs/>
          <w:sz w:val="20"/>
          <w:szCs w:val="20"/>
        </w:rPr>
        <w:t>RGDIP</w:t>
      </w:r>
      <w:r w:rsidR="005272E9" w:rsidRPr="004E64DB">
        <w:rPr>
          <w:rFonts w:ascii="Garamond" w:hAnsi="Garamond"/>
          <w:sz w:val="20"/>
          <w:szCs w:val="20"/>
        </w:rPr>
        <w:t xml:space="preserve"> 2015-4, p. 36.</w:t>
      </w:r>
    </w:p>
    <w:p w14:paraId="7829096C" w14:textId="595B7C4E" w:rsidR="005272E9" w:rsidRPr="004E64DB" w:rsidRDefault="005272E9" w:rsidP="002F3C95">
      <w:pPr>
        <w:autoSpaceDE w:val="0"/>
        <w:autoSpaceDN w:val="0"/>
        <w:adjustRightInd w:val="0"/>
        <w:jc w:val="both"/>
        <w:rPr>
          <w:rFonts w:ascii="Garamond" w:hAnsi="Garamond"/>
          <w:sz w:val="20"/>
          <w:szCs w:val="20"/>
        </w:rPr>
      </w:pPr>
    </w:p>
    <w:p w14:paraId="25BC90C8" w14:textId="029613F2" w:rsidR="005272E9" w:rsidRPr="004E64DB" w:rsidRDefault="005332B9" w:rsidP="002F3C95">
      <w:pPr>
        <w:autoSpaceDE w:val="0"/>
        <w:autoSpaceDN w:val="0"/>
        <w:adjustRightInd w:val="0"/>
        <w:jc w:val="both"/>
        <w:rPr>
          <w:rFonts w:ascii="Garamond" w:hAnsi="Garamond"/>
          <w:sz w:val="20"/>
          <w:szCs w:val="20"/>
        </w:rPr>
      </w:pPr>
      <w:r>
        <w:rPr>
          <w:rFonts w:ascii="Garamond" w:hAnsi="Garamond"/>
          <w:sz w:val="20"/>
          <w:szCs w:val="20"/>
        </w:rPr>
        <w:t>1</w:t>
      </w:r>
      <w:r w:rsidR="004846F6">
        <w:rPr>
          <w:rFonts w:ascii="Garamond" w:hAnsi="Garamond"/>
          <w:sz w:val="20"/>
          <w:szCs w:val="20"/>
        </w:rPr>
        <w:t>3</w:t>
      </w:r>
      <w:r>
        <w:rPr>
          <w:rFonts w:ascii="Garamond" w:hAnsi="Garamond"/>
          <w:sz w:val="20"/>
          <w:szCs w:val="20"/>
        </w:rPr>
        <w:t xml:space="preserve">. </w:t>
      </w:r>
      <w:r w:rsidR="005272E9" w:rsidRPr="00A652D8">
        <w:rPr>
          <w:rFonts w:ascii="Garamond" w:hAnsi="Garamond"/>
          <w:sz w:val="13"/>
          <w:szCs w:val="13"/>
        </w:rPr>
        <w:t>CHILI</w:t>
      </w:r>
      <w:r w:rsidR="005272E9" w:rsidRPr="005332B9">
        <w:rPr>
          <w:rFonts w:ascii="Garamond" w:hAnsi="Garamond"/>
          <w:sz w:val="16"/>
          <w:szCs w:val="16"/>
        </w:rPr>
        <w:t>.</w:t>
      </w:r>
      <w:r w:rsidR="005272E9" w:rsidRPr="004E64DB">
        <w:rPr>
          <w:rFonts w:ascii="Garamond" w:hAnsi="Garamond"/>
          <w:sz w:val="20"/>
          <w:szCs w:val="20"/>
        </w:rPr>
        <w:t xml:space="preserve"> Tribunal constitutionnel, 25 mars 201513</w:t>
      </w:r>
      <w:r w:rsidR="00C7638C">
        <w:rPr>
          <w:rFonts w:ascii="Garamond" w:hAnsi="Garamond"/>
          <w:sz w:val="20"/>
          <w:szCs w:val="20"/>
        </w:rPr>
        <w:t xml:space="preserve">, </w:t>
      </w:r>
      <w:r w:rsidR="005272E9" w:rsidRPr="005332B9">
        <w:rPr>
          <w:rFonts w:ascii="Garamond" w:hAnsi="Garamond"/>
          <w:i/>
          <w:iCs/>
          <w:sz w:val="20"/>
          <w:szCs w:val="20"/>
        </w:rPr>
        <w:t>RGDIP</w:t>
      </w:r>
      <w:r w:rsidR="005272E9" w:rsidRPr="004E64DB">
        <w:rPr>
          <w:rFonts w:ascii="Garamond" w:hAnsi="Garamond"/>
          <w:sz w:val="20"/>
          <w:szCs w:val="20"/>
        </w:rPr>
        <w:t xml:space="preserve"> 2015-4, p. 17</w:t>
      </w:r>
      <w:r>
        <w:rPr>
          <w:rFonts w:ascii="Garamond" w:hAnsi="Garamond"/>
          <w:sz w:val="20"/>
          <w:szCs w:val="20"/>
        </w:rPr>
        <w:t>.</w:t>
      </w:r>
    </w:p>
    <w:p w14:paraId="4882BD96" w14:textId="5AAFED72" w:rsidR="005272E9" w:rsidRPr="004E64DB" w:rsidRDefault="005272E9" w:rsidP="002F3C95">
      <w:pPr>
        <w:autoSpaceDE w:val="0"/>
        <w:autoSpaceDN w:val="0"/>
        <w:adjustRightInd w:val="0"/>
        <w:jc w:val="both"/>
        <w:rPr>
          <w:rFonts w:ascii="Garamond" w:hAnsi="Garamond"/>
          <w:sz w:val="20"/>
          <w:szCs w:val="20"/>
        </w:rPr>
      </w:pPr>
    </w:p>
    <w:p w14:paraId="2A3512F8" w14:textId="31FCAE72" w:rsidR="005272E9" w:rsidRPr="004E64DB" w:rsidRDefault="005332B9" w:rsidP="002F3C95">
      <w:pPr>
        <w:autoSpaceDE w:val="0"/>
        <w:autoSpaceDN w:val="0"/>
        <w:adjustRightInd w:val="0"/>
        <w:jc w:val="both"/>
        <w:rPr>
          <w:rFonts w:ascii="Garamond" w:hAnsi="Garamond"/>
          <w:sz w:val="20"/>
          <w:szCs w:val="20"/>
        </w:rPr>
      </w:pPr>
      <w:r>
        <w:rPr>
          <w:rFonts w:ascii="Garamond" w:hAnsi="Garamond"/>
          <w:sz w:val="20"/>
          <w:szCs w:val="20"/>
        </w:rPr>
        <w:t>1</w:t>
      </w:r>
      <w:r w:rsidR="004846F6">
        <w:rPr>
          <w:rFonts w:ascii="Garamond" w:hAnsi="Garamond"/>
          <w:sz w:val="20"/>
          <w:szCs w:val="20"/>
        </w:rPr>
        <w:t>2</w:t>
      </w:r>
      <w:r>
        <w:rPr>
          <w:rFonts w:ascii="Garamond" w:hAnsi="Garamond"/>
          <w:sz w:val="20"/>
          <w:szCs w:val="20"/>
        </w:rPr>
        <w:t xml:space="preserve">. </w:t>
      </w:r>
      <w:r w:rsidR="005272E9" w:rsidRPr="00A652D8">
        <w:rPr>
          <w:rFonts w:ascii="Garamond" w:hAnsi="Garamond"/>
          <w:sz w:val="13"/>
          <w:szCs w:val="13"/>
        </w:rPr>
        <w:t>ESPAGNE</w:t>
      </w:r>
      <w:r w:rsidR="005272E9" w:rsidRPr="004E64DB">
        <w:rPr>
          <w:rFonts w:ascii="Garamond" w:hAnsi="Garamond"/>
          <w:sz w:val="20"/>
          <w:szCs w:val="20"/>
        </w:rPr>
        <w:t xml:space="preserve">. Tribunal suprême (sala de </w:t>
      </w:r>
      <w:proofErr w:type="spellStart"/>
      <w:r w:rsidR="005272E9" w:rsidRPr="004E64DB">
        <w:rPr>
          <w:rFonts w:ascii="Garamond" w:hAnsi="Garamond"/>
          <w:sz w:val="20"/>
          <w:szCs w:val="20"/>
        </w:rPr>
        <w:t>lo</w:t>
      </w:r>
      <w:proofErr w:type="spellEnd"/>
      <w:r w:rsidR="005272E9" w:rsidRPr="004E64DB">
        <w:rPr>
          <w:rFonts w:ascii="Garamond" w:hAnsi="Garamond"/>
          <w:sz w:val="20"/>
          <w:szCs w:val="20"/>
        </w:rPr>
        <w:t xml:space="preserve"> </w:t>
      </w:r>
      <w:proofErr w:type="spellStart"/>
      <w:r w:rsidR="005272E9" w:rsidRPr="004E64DB">
        <w:rPr>
          <w:rFonts w:ascii="Garamond" w:hAnsi="Garamond"/>
          <w:sz w:val="20"/>
          <w:szCs w:val="20"/>
        </w:rPr>
        <w:t>penal</w:t>
      </w:r>
      <w:proofErr w:type="spellEnd"/>
      <w:r w:rsidR="005272E9" w:rsidRPr="004E64DB">
        <w:rPr>
          <w:rFonts w:ascii="Garamond" w:hAnsi="Garamond"/>
          <w:sz w:val="20"/>
          <w:szCs w:val="20"/>
        </w:rPr>
        <w:t>), sentence 592/2014 du 6 mai</w:t>
      </w:r>
      <w:r w:rsidR="00B80A74">
        <w:rPr>
          <w:rFonts w:ascii="Garamond" w:hAnsi="Garamond"/>
          <w:sz w:val="20"/>
          <w:szCs w:val="20"/>
        </w:rPr>
        <w:t xml:space="preserve"> </w:t>
      </w:r>
      <w:r w:rsidR="005272E9" w:rsidRPr="004E64DB">
        <w:rPr>
          <w:rFonts w:ascii="Garamond" w:hAnsi="Garamond"/>
          <w:sz w:val="20"/>
          <w:szCs w:val="20"/>
        </w:rPr>
        <w:t>2015 et sentence 297/2015 du 8 mai 2015</w:t>
      </w:r>
      <w:r w:rsidR="00B80A74">
        <w:rPr>
          <w:rFonts w:ascii="Garamond" w:hAnsi="Garamond"/>
          <w:sz w:val="20"/>
          <w:szCs w:val="20"/>
        </w:rPr>
        <w:t xml:space="preserve">, </w:t>
      </w:r>
      <w:r w:rsidR="005272E9" w:rsidRPr="00B80A74">
        <w:rPr>
          <w:rFonts w:ascii="Garamond" w:hAnsi="Garamond"/>
          <w:i/>
          <w:iCs/>
          <w:sz w:val="20"/>
          <w:szCs w:val="20"/>
        </w:rPr>
        <w:t>RGDIP</w:t>
      </w:r>
      <w:r w:rsidR="005272E9" w:rsidRPr="004E64DB">
        <w:rPr>
          <w:rFonts w:ascii="Garamond" w:hAnsi="Garamond"/>
          <w:sz w:val="20"/>
          <w:szCs w:val="20"/>
        </w:rPr>
        <w:t xml:space="preserve"> 2015-4, p. 17.</w:t>
      </w:r>
    </w:p>
    <w:p w14:paraId="64BAD05D" w14:textId="77777777" w:rsidR="00B80A74" w:rsidRDefault="00B80A74" w:rsidP="002F3C95">
      <w:pPr>
        <w:autoSpaceDE w:val="0"/>
        <w:autoSpaceDN w:val="0"/>
        <w:adjustRightInd w:val="0"/>
        <w:jc w:val="both"/>
        <w:rPr>
          <w:rFonts w:ascii="Garamond" w:hAnsi="Garamond"/>
          <w:sz w:val="20"/>
          <w:szCs w:val="20"/>
        </w:rPr>
      </w:pPr>
    </w:p>
    <w:p w14:paraId="5E1A3E24" w14:textId="4BC4B572" w:rsidR="00C85E30" w:rsidRPr="004E64DB" w:rsidRDefault="005332B9" w:rsidP="002F3C95">
      <w:pPr>
        <w:autoSpaceDE w:val="0"/>
        <w:autoSpaceDN w:val="0"/>
        <w:adjustRightInd w:val="0"/>
        <w:jc w:val="both"/>
        <w:rPr>
          <w:rFonts w:ascii="Garamond" w:hAnsi="Garamond"/>
          <w:sz w:val="20"/>
          <w:szCs w:val="20"/>
        </w:rPr>
      </w:pPr>
      <w:r>
        <w:rPr>
          <w:rFonts w:ascii="Garamond" w:hAnsi="Garamond"/>
          <w:sz w:val="20"/>
          <w:szCs w:val="20"/>
        </w:rPr>
        <w:t>1</w:t>
      </w:r>
      <w:r w:rsidR="004846F6">
        <w:rPr>
          <w:rFonts w:ascii="Garamond" w:hAnsi="Garamond"/>
          <w:sz w:val="20"/>
          <w:szCs w:val="20"/>
        </w:rPr>
        <w:t>1</w:t>
      </w:r>
      <w:r>
        <w:rPr>
          <w:rFonts w:ascii="Garamond" w:hAnsi="Garamond"/>
          <w:sz w:val="20"/>
          <w:szCs w:val="20"/>
        </w:rPr>
        <w:t xml:space="preserve">. </w:t>
      </w:r>
      <w:r w:rsidR="00C85E30" w:rsidRPr="00A652D8">
        <w:rPr>
          <w:rFonts w:ascii="Garamond" w:hAnsi="Garamond"/>
          <w:sz w:val="13"/>
          <w:szCs w:val="13"/>
        </w:rPr>
        <w:t>COLOMBIE</w:t>
      </w:r>
      <w:r w:rsidR="00C85E30" w:rsidRPr="005332B9">
        <w:rPr>
          <w:rFonts w:ascii="Garamond" w:hAnsi="Garamond"/>
          <w:sz w:val="16"/>
          <w:szCs w:val="16"/>
        </w:rPr>
        <w:t>.</w:t>
      </w:r>
      <w:r w:rsidR="00C85E30" w:rsidRPr="004E64DB">
        <w:rPr>
          <w:rFonts w:ascii="Garamond" w:hAnsi="Garamond"/>
          <w:sz w:val="20"/>
          <w:szCs w:val="20"/>
        </w:rPr>
        <w:t xml:space="preserve"> Cour suprême, décision du 2 avril 2014, cas n° 42.118, E. J.</w:t>
      </w:r>
      <w:r w:rsidR="00B80A74">
        <w:rPr>
          <w:rFonts w:ascii="Garamond" w:hAnsi="Garamond"/>
          <w:sz w:val="20"/>
          <w:szCs w:val="20"/>
        </w:rPr>
        <w:t xml:space="preserve"> </w:t>
      </w:r>
      <w:r w:rsidR="00C85E30" w:rsidRPr="004E64DB">
        <w:rPr>
          <w:rFonts w:ascii="Garamond" w:hAnsi="Garamond"/>
          <w:sz w:val="20"/>
          <w:szCs w:val="20"/>
        </w:rPr>
        <w:t>Bello Murillo (affaire James Terry Watson)</w:t>
      </w:r>
      <w:r w:rsidR="00B80A74">
        <w:rPr>
          <w:rFonts w:ascii="Garamond" w:hAnsi="Garamond"/>
          <w:sz w:val="20"/>
          <w:szCs w:val="20"/>
        </w:rPr>
        <w:t xml:space="preserve">, </w:t>
      </w:r>
      <w:r w:rsidR="00C85E30" w:rsidRPr="005332B9">
        <w:rPr>
          <w:rFonts w:ascii="Garamond" w:hAnsi="Garamond"/>
          <w:i/>
          <w:iCs/>
          <w:sz w:val="20"/>
          <w:szCs w:val="20"/>
        </w:rPr>
        <w:t>RGDIP</w:t>
      </w:r>
      <w:r w:rsidR="00C85E30" w:rsidRPr="004E64DB">
        <w:rPr>
          <w:rFonts w:ascii="Garamond" w:hAnsi="Garamond"/>
          <w:sz w:val="20"/>
          <w:szCs w:val="20"/>
        </w:rPr>
        <w:t xml:space="preserve"> 2014-4, p.</w:t>
      </w:r>
      <w:r w:rsidR="005272E9" w:rsidRPr="004E64DB">
        <w:rPr>
          <w:rFonts w:ascii="Garamond" w:hAnsi="Garamond"/>
          <w:sz w:val="20"/>
          <w:szCs w:val="20"/>
        </w:rPr>
        <w:t xml:space="preserve"> 954</w:t>
      </w:r>
      <w:r w:rsidR="00C85E30" w:rsidRPr="004E64DB">
        <w:rPr>
          <w:rFonts w:ascii="Garamond" w:hAnsi="Garamond"/>
          <w:sz w:val="20"/>
          <w:szCs w:val="20"/>
        </w:rPr>
        <w:t>.</w:t>
      </w:r>
    </w:p>
    <w:p w14:paraId="7E3DE52F" w14:textId="278E2B6B" w:rsidR="00C85E30" w:rsidRPr="004E64DB" w:rsidRDefault="00C85E30" w:rsidP="002F3C95">
      <w:pPr>
        <w:autoSpaceDE w:val="0"/>
        <w:autoSpaceDN w:val="0"/>
        <w:adjustRightInd w:val="0"/>
        <w:jc w:val="both"/>
        <w:rPr>
          <w:rFonts w:ascii="Garamond" w:hAnsi="Garamond"/>
          <w:sz w:val="20"/>
          <w:szCs w:val="20"/>
        </w:rPr>
      </w:pPr>
    </w:p>
    <w:p w14:paraId="7C9AEE30" w14:textId="610434D9" w:rsidR="00C85E30" w:rsidRPr="00B80A74" w:rsidRDefault="004846F6" w:rsidP="002F3C95">
      <w:pPr>
        <w:autoSpaceDE w:val="0"/>
        <w:autoSpaceDN w:val="0"/>
        <w:adjustRightInd w:val="0"/>
        <w:jc w:val="both"/>
        <w:rPr>
          <w:rFonts w:ascii="Garamond" w:hAnsi="Garamond"/>
          <w:sz w:val="20"/>
          <w:szCs w:val="20"/>
        </w:rPr>
      </w:pPr>
      <w:r w:rsidRPr="00B96976">
        <w:rPr>
          <w:rFonts w:ascii="Garamond" w:hAnsi="Garamond"/>
          <w:sz w:val="20"/>
          <w:szCs w:val="20"/>
        </w:rPr>
        <w:t>10</w:t>
      </w:r>
      <w:r w:rsidR="005332B9">
        <w:rPr>
          <w:rFonts w:ascii="Garamond" w:hAnsi="Garamond"/>
          <w:sz w:val="16"/>
          <w:szCs w:val="16"/>
        </w:rPr>
        <w:t>.</w:t>
      </w:r>
      <w:r w:rsidR="005332B9" w:rsidRPr="00A652D8">
        <w:rPr>
          <w:rFonts w:ascii="Garamond" w:hAnsi="Garamond"/>
          <w:sz w:val="13"/>
          <w:szCs w:val="13"/>
        </w:rPr>
        <w:t xml:space="preserve"> </w:t>
      </w:r>
      <w:r w:rsidR="005272E9" w:rsidRPr="00A652D8">
        <w:rPr>
          <w:rFonts w:ascii="Garamond" w:hAnsi="Garamond"/>
          <w:sz w:val="13"/>
          <w:szCs w:val="13"/>
        </w:rPr>
        <w:t>E</w:t>
      </w:r>
      <w:r w:rsidR="002F3C95" w:rsidRPr="00A652D8">
        <w:rPr>
          <w:rFonts w:ascii="Garamond" w:hAnsi="Garamond"/>
          <w:sz w:val="13"/>
          <w:szCs w:val="13"/>
        </w:rPr>
        <w:t>SPAGNE</w:t>
      </w:r>
      <w:r w:rsidR="005272E9" w:rsidRPr="004E64DB">
        <w:rPr>
          <w:rFonts w:ascii="Garamond" w:hAnsi="Garamond"/>
          <w:sz w:val="20"/>
          <w:szCs w:val="20"/>
        </w:rPr>
        <w:t>. Audience nationale (</w:t>
      </w:r>
      <w:proofErr w:type="spellStart"/>
      <w:r w:rsidR="005272E9" w:rsidRPr="004E64DB">
        <w:rPr>
          <w:rFonts w:ascii="Garamond" w:hAnsi="Garamond"/>
          <w:sz w:val="20"/>
          <w:szCs w:val="20"/>
        </w:rPr>
        <w:t>sección</w:t>
      </w:r>
      <w:proofErr w:type="spellEnd"/>
      <w:r w:rsidR="005272E9" w:rsidRPr="004E64DB">
        <w:rPr>
          <w:rFonts w:ascii="Garamond" w:hAnsi="Garamond"/>
          <w:sz w:val="20"/>
          <w:szCs w:val="20"/>
        </w:rPr>
        <w:t xml:space="preserve"> </w:t>
      </w:r>
      <w:proofErr w:type="spellStart"/>
      <w:r w:rsidR="005272E9" w:rsidRPr="004E64DB">
        <w:rPr>
          <w:rFonts w:ascii="Garamond" w:hAnsi="Garamond"/>
          <w:sz w:val="20"/>
          <w:szCs w:val="20"/>
        </w:rPr>
        <w:t>cuarta</w:t>
      </w:r>
      <w:proofErr w:type="spellEnd"/>
      <w:r w:rsidR="005272E9" w:rsidRPr="004E64DB">
        <w:rPr>
          <w:rFonts w:ascii="Garamond" w:hAnsi="Garamond"/>
          <w:sz w:val="20"/>
          <w:szCs w:val="20"/>
        </w:rPr>
        <w:t>), arrêt 270/13 du 18 novembre</w:t>
      </w:r>
      <w:r w:rsidR="00B80A74">
        <w:rPr>
          <w:rFonts w:ascii="Garamond" w:hAnsi="Garamond"/>
          <w:sz w:val="20"/>
          <w:szCs w:val="20"/>
        </w:rPr>
        <w:t xml:space="preserve"> </w:t>
      </w:r>
      <w:r w:rsidR="005272E9" w:rsidRPr="004E64DB">
        <w:rPr>
          <w:rFonts w:ascii="Garamond" w:hAnsi="Garamond"/>
          <w:sz w:val="20"/>
          <w:szCs w:val="20"/>
        </w:rPr>
        <w:t>2013, suivi des ordonnances du 10 février 2014 du juge central</w:t>
      </w:r>
      <w:r w:rsidR="00B80A74">
        <w:rPr>
          <w:rFonts w:ascii="Garamond" w:hAnsi="Garamond"/>
          <w:sz w:val="20"/>
          <w:szCs w:val="20"/>
        </w:rPr>
        <w:t xml:space="preserve"> </w:t>
      </w:r>
      <w:r w:rsidR="005272E9" w:rsidRPr="004E64DB">
        <w:rPr>
          <w:rFonts w:ascii="Garamond" w:hAnsi="Garamond"/>
          <w:sz w:val="20"/>
          <w:szCs w:val="20"/>
        </w:rPr>
        <w:t xml:space="preserve">d’instruction n°2, 63/0823 —. Tribunal suprême (sala de </w:t>
      </w:r>
      <w:proofErr w:type="spellStart"/>
      <w:r w:rsidR="005272E9" w:rsidRPr="004E64DB">
        <w:rPr>
          <w:rFonts w:ascii="Garamond" w:hAnsi="Garamond"/>
          <w:sz w:val="20"/>
          <w:szCs w:val="20"/>
        </w:rPr>
        <w:t>lo</w:t>
      </w:r>
      <w:proofErr w:type="spellEnd"/>
      <w:r w:rsidR="005272E9" w:rsidRPr="004E64DB">
        <w:rPr>
          <w:rFonts w:ascii="Garamond" w:hAnsi="Garamond"/>
          <w:sz w:val="20"/>
          <w:szCs w:val="20"/>
        </w:rPr>
        <w:t xml:space="preserve"> </w:t>
      </w:r>
      <w:proofErr w:type="spellStart"/>
      <w:r w:rsidR="005272E9" w:rsidRPr="004E64DB">
        <w:rPr>
          <w:rFonts w:ascii="Garamond" w:hAnsi="Garamond"/>
          <w:sz w:val="20"/>
          <w:szCs w:val="20"/>
        </w:rPr>
        <w:t>penal</w:t>
      </w:r>
      <w:proofErr w:type="spellEnd"/>
      <w:r w:rsidR="005272E9" w:rsidRPr="004E64DB">
        <w:rPr>
          <w:rFonts w:ascii="Garamond" w:hAnsi="Garamond"/>
          <w:sz w:val="20"/>
          <w:szCs w:val="20"/>
        </w:rPr>
        <w:t>),</w:t>
      </w:r>
      <w:r w:rsidR="00B80A74">
        <w:rPr>
          <w:rFonts w:ascii="Garamond" w:hAnsi="Garamond"/>
          <w:sz w:val="20"/>
          <w:szCs w:val="20"/>
        </w:rPr>
        <w:t xml:space="preserve"> </w:t>
      </w:r>
      <w:r w:rsidR="005272E9" w:rsidRPr="004E64DB">
        <w:rPr>
          <w:rFonts w:ascii="Garamond" w:hAnsi="Garamond"/>
          <w:sz w:val="20"/>
          <w:szCs w:val="20"/>
        </w:rPr>
        <w:t>sentence 592/2014 du 14 juillet 2014</w:t>
      </w:r>
      <w:r w:rsidR="00B80A74">
        <w:rPr>
          <w:rFonts w:ascii="Garamond" w:hAnsi="Garamond"/>
          <w:sz w:val="20"/>
          <w:szCs w:val="20"/>
        </w:rPr>
        <w:t>,</w:t>
      </w:r>
      <w:r w:rsidR="005332B9">
        <w:rPr>
          <w:rFonts w:ascii="Garamond" w:hAnsi="Garamond"/>
          <w:sz w:val="20"/>
          <w:szCs w:val="20"/>
        </w:rPr>
        <w:t xml:space="preserve"> </w:t>
      </w:r>
      <w:r w:rsidR="005272E9" w:rsidRPr="005332B9">
        <w:rPr>
          <w:rFonts w:ascii="Garamond" w:hAnsi="Garamond"/>
          <w:i/>
          <w:iCs/>
          <w:sz w:val="20"/>
          <w:szCs w:val="20"/>
        </w:rPr>
        <w:t>RGDIP</w:t>
      </w:r>
      <w:r w:rsidR="005272E9" w:rsidRPr="004E64DB">
        <w:rPr>
          <w:rFonts w:ascii="Garamond" w:hAnsi="Garamond"/>
          <w:sz w:val="20"/>
          <w:szCs w:val="20"/>
        </w:rPr>
        <w:t xml:space="preserve"> 2014-4, p. 967.</w:t>
      </w:r>
    </w:p>
    <w:p w14:paraId="14771DF8" w14:textId="7B54BA09" w:rsidR="00C85E30" w:rsidRPr="004E64DB" w:rsidRDefault="00C85E30" w:rsidP="004E64DB">
      <w:pPr>
        <w:spacing w:before="100" w:beforeAutospacing="1" w:after="100" w:afterAutospacing="1"/>
        <w:jc w:val="both"/>
        <w:rPr>
          <w:rFonts w:ascii="Garamond" w:hAnsi="Garamond"/>
          <w:color w:val="101010"/>
          <w:sz w:val="20"/>
          <w:szCs w:val="20"/>
          <w:u w:val="single"/>
          <w:bdr w:val="none" w:sz="0" w:space="0" w:color="auto" w:frame="1"/>
        </w:rPr>
      </w:pPr>
      <w:r w:rsidRPr="004E64DB">
        <w:rPr>
          <w:rFonts w:ascii="Garamond" w:hAnsi="Garamond"/>
          <w:color w:val="101010"/>
          <w:sz w:val="20"/>
          <w:szCs w:val="20"/>
          <w:u w:val="single"/>
          <w:bdr w:val="none" w:sz="0" w:space="0" w:color="auto" w:frame="1"/>
        </w:rPr>
        <w:t>Articles de presse et blogs juridiques</w:t>
      </w:r>
    </w:p>
    <w:p w14:paraId="09D7A03D" w14:textId="17E54D7C" w:rsidR="00C85E30" w:rsidRPr="004E64DB" w:rsidRDefault="004846F6" w:rsidP="004E64DB">
      <w:pPr>
        <w:spacing w:before="100" w:beforeAutospacing="1" w:after="100" w:afterAutospacing="1"/>
        <w:jc w:val="both"/>
        <w:rPr>
          <w:rFonts w:ascii="Garamond" w:hAnsi="Garamond"/>
          <w:sz w:val="20"/>
          <w:szCs w:val="20"/>
          <w:lang w:val="en-US"/>
        </w:rPr>
      </w:pPr>
      <w:r>
        <w:rPr>
          <w:rFonts w:ascii="Garamond" w:hAnsi="Garamond"/>
          <w:sz w:val="20"/>
          <w:szCs w:val="20"/>
          <w:lang w:val="en-US"/>
        </w:rPr>
        <w:t>9</w:t>
      </w:r>
      <w:r w:rsidR="00C85E30" w:rsidRPr="004E64DB">
        <w:rPr>
          <w:rFonts w:ascii="Garamond" w:hAnsi="Garamond"/>
          <w:sz w:val="20"/>
          <w:szCs w:val="20"/>
          <w:lang w:val="en-US"/>
        </w:rPr>
        <w:t xml:space="preserve">. </w:t>
      </w:r>
      <w:r w:rsidR="00DF6ADB" w:rsidRPr="004E64DB">
        <w:rPr>
          <w:rFonts w:ascii="Garamond" w:hAnsi="Garamond"/>
          <w:sz w:val="20"/>
          <w:szCs w:val="20"/>
          <w:lang w:val="en-US"/>
        </w:rPr>
        <w:t xml:space="preserve">« Is the Pacific Shaping the Future of Maritime Limits and Boundaries? », </w:t>
      </w:r>
      <w:r w:rsidR="00DF6ADB" w:rsidRPr="004E64DB">
        <w:rPr>
          <w:rFonts w:ascii="Garamond" w:hAnsi="Garamond"/>
          <w:i/>
          <w:iCs/>
          <w:sz w:val="20"/>
          <w:szCs w:val="20"/>
          <w:lang w:val="en-US"/>
        </w:rPr>
        <w:t>ASIL Insight</w:t>
      </w:r>
      <w:r w:rsidR="00DF6ADB" w:rsidRPr="004E64DB">
        <w:rPr>
          <w:rFonts w:ascii="Garamond" w:hAnsi="Garamond"/>
          <w:sz w:val="20"/>
          <w:szCs w:val="20"/>
          <w:lang w:val="en-US"/>
        </w:rPr>
        <w:t xml:space="preserve">, Vol. 25, Issue 23, 19 </w:t>
      </w:r>
      <w:proofErr w:type="spellStart"/>
      <w:r w:rsidR="00DF6ADB" w:rsidRPr="004E64DB">
        <w:rPr>
          <w:rFonts w:ascii="Garamond" w:hAnsi="Garamond"/>
          <w:sz w:val="20"/>
          <w:szCs w:val="20"/>
          <w:lang w:val="en-US"/>
        </w:rPr>
        <w:t>octobre</w:t>
      </w:r>
      <w:proofErr w:type="spellEnd"/>
      <w:r w:rsidR="00DF6ADB" w:rsidRPr="004E64DB">
        <w:rPr>
          <w:rFonts w:ascii="Garamond" w:hAnsi="Garamond"/>
          <w:sz w:val="20"/>
          <w:szCs w:val="20"/>
          <w:lang w:val="en-US"/>
        </w:rPr>
        <w:t xml:space="preserve"> 2021.</w:t>
      </w:r>
    </w:p>
    <w:p w14:paraId="302B09C5" w14:textId="5145E585" w:rsidR="00C85E30" w:rsidRPr="004E64DB" w:rsidRDefault="004846F6" w:rsidP="004E64DB">
      <w:pPr>
        <w:spacing w:before="100" w:beforeAutospacing="1" w:after="100" w:afterAutospacing="1"/>
        <w:jc w:val="both"/>
        <w:rPr>
          <w:rFonts w:ascii="Garamond" w:hAnsi="Garamond"/>
          <w:sz w:val="20"/>
          <w:szCs w:val="20"/>
        </w:rPr>
      </w:pPr>
      <w:r>
        <w:rPr>
          <w:rFonts w:ascii="Garamond" w:hAnsi="Garamond"/>
          <w:sz w:val="20"/>
          <w:szCs w:val="20"/>
        </w:rPr>
        <w:t>8</w:t>
      </w:r>
      <w:r w:rsidR="00C85E30" w:rsidRPr="004E64DB">
        <w:rPr>
          <w:rFonts w:ascii="Garamond" w:hAnsi="Garamond"/>
          <w:sz w:val="20"/>
          <w:szCs w:val="20"/>
        </w:rPr>
        <w:t xml:space="preserve">. </w:t>
      </w:r>
      <w:r w:rsidR="00DF6ADB" w:rsidRPr="004E64DB">
        <w:rPr>
          <w:rFonts w:ascii="Garamond" w:hAnsi="Garamond"/>
          <w:sz w:val="20"/>
          <w:szCs w:val="20"/>
        </w:rPr>
        <w:t xml:space="preserve">« La crise des sous-marins australiens vue du droit », </w:t>
      </w:r>
      <w:r w:rsidR="00DF6ADB" w:rsidRPr="004E64DB">
        <w:rPr>
          <w:rFonts w:ascii="Garamond" w:hAnsi="Garamond"/>
          <w:i/>
          <w:iCs/>
          <w:sz w:val="20"/>
          <w:szCs w:val="20"/>
        </w:rPr>
        <w:t>Le Club des juristes</w:t>
      </w:r>
      <w:r w:rsidR="00DF6ADB" w:rsidRPr="004E64DB">
        <w:rPr>
          <w:rFonts w:ascii="Garamond" w:hAnsi="Garamond"/>
          <w:sz w:val="20"/>
          <w:szCs w:val="20"/>
        </w:rPr>
        <w:t>, 14 octobre 2021.</w:t>
      </w:r>
    </w:p>
    <w:p w14:paraId="7E229A96" w14:textId="45704B04" w:rsidR="00C85E30" w:rsidRPr="004E64DB" w:rsidRDefault="004846F6" w:rsidP="004E64DB">
      <w:pPr>
        <w:spacing w:before="100" w:beforeAutospacing="1" w:after="100" w:afterAutospacing="1"/>
        <w:jc w:val="both"/>
        <w:rPr>
          <w:rFonts w:ascii="Garamond" w:hAnsi="Garamond"/>
          <w:sz w:val="20"/>
          <w:szCs w:val="20"/>
        </w:rPr>
      </w:pPr>
      <w:r>
        <w:rPr>
          <w:rFonts w:ascii="Garamond" w:hAnsi="Garamond"/>
          <w:sz w:val="20"/>
          <w:szCs w:val="20"/>
        </w:rPr>
        <w:t>7</w:t>
      </w:r>
      <w:r w:rsidR="00C85E30" w:rsidRPr="004E64DB">
        <w:rPr>
          <w:rFonts w:ascii="Garamond" w:hAnsi="Garamond"/>
          <w:sz w:val="20"/>
          <w:szCs w:val="20"/>
        </w:rPr>
        <w:t xml:space="preserve">. « La Nouvelle-Zélande au temps du </w:t>
      </w:r>
      <w:proofErr w:type="spellStart"/>
      <w:r w:rsidR="00C85E30" w:rsidRPr="004E64DB">
        <w:rPr>
          <w:rFonts w:ascii="Garamond" w:hAnsi="Garamond"/>
          <w:sz w:val="20"/>
          <w:szCs w:val="20"/>
        </w:rPr>
        <w:t>covid</w:t>
      </w:r>
      <w:proofErr w:type="spellEnd"/>
      <w:r w:rsidR="00C85E30" w:rsidRPr="004E64DB">
        <w:rPr>
          <w:rFonts w:ascii="Garamond" w:hAnsi="Garamond"/>
          <w:sz w:val="20"/>
          <w:szCs w:val="20"/>
        </w:rPr>
        <w:t xml:space="preserve"> 19 : un </w:t>
      </w:r>
      <w:proofErr w:type="spellStart"/>
      <w:r w:rsidR="00C85E30" w:rsidRPr="004E64DB">
        <w:rPr>
          <w:rFonts w:ascii="Garamond" w:hAnsi="Garamond"/>
          <w:sz w:val="20"/>
          <w:szCs w:val="20"/>
        </w:rPr>
        <w:t>Etat</w:t>
      </w:r>
      <w:proofErr w:type="spellEnd"/>
      <w:r w:rsidR="00C85E30" w:rsidRPr="004E64DB">
        <w:rPr>
          <w:rFonts w:ascii="Garamond" w:hAnsi="Garamond"/>
          <w:sz w:val="20"/>
          <w:szCs w:val="20"/>
        </w:rPr>
        <w:t xml:space="preserve"> législativement et institutionnellement bien équipé », Blog </w:t>
      </w:r>
      <w:r w:rsidR="00C85E30" w:rsidRPr="004E64DB">
        <w:rPr>
          <w:rFonts w:ascii="Garamond" w:hAnsi="Garamond"/>
          <w:i/>
          <w:iCs/>
          <w:sz w:val="20"/>
          <w:szCs w:val="20"/>
        </w:rPr>
        <w:t xml:space="preserve">Jus </w:t>
      </w:r>
      <w:proofErr w:type="spellStart"/>
      <w:r w:rsidR="00C85E30" w:rsidRPr="004E64DB">
        <w:rPr>
          <w:rFonts w:ascii="Garamond" w:hAnsi="Garamond"/>
          <w:i/>
          <w:iCs/>
          <w:sz w:val="20"/>
          <w:szCs w:val="20"/>
        </w:rPr>
        <w:t>Politicum</w:t>
      </w:r>
      <w:proofErr w:type="spellEnd"/>
      <w:r w:rsidR="00C85E30" w:rsidRPr="004E64DB">
        <w:rPr>
          <w:rFonts w:ascii="Garamond" w:hAnsi="Garamond"/>
          <w:sz w:val="20"/>
          <w:szCs w:val="20"/>
        </w:rPr>
        <w:t>, 20 avril 2020.</w:t>
      </w:r>
    </w:p>
    <w:p w14:paraId="10916C66" w14:textId="2E2998E2" w:rsidR="00C85E30" w:rsidRPr="004E64DB" w:rsidRDefault="004846F6" w:rsidP="004E64DB">
      <w:pPr>
        <w:spacing w:before="100" w:beforeAutospacing="1" w:after="100" w:afterAutospacing="1"/>
        <w:jc w:val="both"/>
        <w:rPr>
          <w:rFonts w:ascii="Garamond" w:hAnsi="Garamond"/>
          <w:sz w:val="20"/>
          <w:szCs w:val="20"/>
        </w:rPr>
      </w:pPr>
      <w:r>
        <w:rPr>
          <w:rFonts w:ascii="Garamond" w:hAnsi="Garamond"/>
          <w:sz w:val="20"/>
          <w:szCs w:val="20"/>
        </w:rPr>
        <w:t>6</w:t>
      </w:r>
      <w:r w:rsidR="00C85E30" w:rsidRPr="004E64DB">
        <w:rPr>
          <w:rFonts w:ascii="Garamond" w:hAnsi="Garamond"/>
          <w:sz w:val="20"/>
          <w:szCs w:val="20"/>
        </w:rPr>
        <w:t xml:space="preserve">. « Cession de territoire en droit international : l’exemple du Groenland », </w:t>
      </w:r>
      <w:r w:rsidR="00DF6ADB" w:rsidRPr="004E64DB">
        <w:rPr>
          <w:rFonts w:ascii="Garamond" w:hAnsi="Garamond"/>
          <w:i/>
          <w:iCs/>
          <w:sz w:val="20"/>
          <w:szCs w:val="20"/>
        </w:rPr>
        <w:t>L</w:t>
      </w:r>
      <w:r w:rsidR="00C85E30" w:rsidRPr="004E64DB">
        <w:rPr>
          <w:rFonts w:ascii="Garamond" w:hAnsi="Garamond"/>
          <w:i/>
          <w:iCs/>
          <w:sz w:val="20"/>
          <w:szCs w:val="20"/>
        </w:rPr>
        <w:t>e Club des juristes</w:t>
      </w:r>
      <w:r w:rsidR="00C85E30" w:rsidRPr="004E64DB">
        <w:rPr>
          <w:rFonts w:ascii="Garamond" w:hAnsi="Garamond"/>
          <w:sz w:val="20"/>
          <w:szCs w:val="20"/>
        </w:rPr>
        <w:t>, 16 septembre 2019.</w:t>
      </w:r>
    </w:p>
    <w:p w14:paraId="35F83AEE" w14:textId="374D9821" w:rsidR="00C85E30" w:rsidRPr="004E64DB" w:rsidRDefault="004846F6" w:rsidP="004E64DB">
      <w:pPr>
        <w:spacing w:before="100" w:beforeAutospacing="1" w:after="100" w:afterAutospacing="1"/>
        <w:jc w:val="both"/>
        <w:rPr>
          <w:rFonts w:ascii="Garamond" w:hAnsi="Garamond"/>
          <w:sz w:val="20"/>
          <w:szCs w:val="20"/>
        </w:rPr>
      </w:pPr>
      <w:r>
        <w:rPr>
          <w:rFonts w:ascii="Garamond" w:hAnsi="Garamond"/>
          <w:sz w:val="20"/>
          <w:szCs w:val="20"/>
        </w:rPr>
        <w:t>5</w:t>
      </w:r>
      <w:r w:rsidR="00C85E30" w:rsidRPr="004E64DB">
        <w:rPr>
          <w:rFonts w:ascii="Garamond" w:hAnsi="Garamond"/>
          <w:sz w:val="20"/>
          <w:szCs w:val="20"/>
        </w:rPr>
        <w:t xml:space="preserve">.« Les </w:t>
      </w:r>
      <w:proofErr w:type="spellStart"/>
      <w:r w:rsidR="00C85E30" w:rsidRPr="004E64DB">
        <w:rPr>
          <w:rFonts w:ascii="Garamond" w:hAnsi="Garamond"/>
          <w:sz w:val="20"/>
          <w:szCs w:val="20"/>
        </w:rPr>
        <w:t>dernières</w:t>
      </w:r>
      <w:proofErr w:type="spellEnd"/>
      <w:r w:rsidR="00C85E30" w:rsidRPr="004E64DB">
        <w:rPr>
          <w:rFonts w:ascii="Garamond" w:hAnsi="Garamond"/>
          <w:sz w:val="20"/>
          <w:szCs w:val="20"/>
        </w:rPr>
        <w:t xml:space="preserve"> </w:t>
      </w:r>
      <w:proofErr w:type="spellStart"/>
      <w:r w:rsidR="00C85E30" w:rsidRPr="004E64DB">
        <w:rPr>
          <w:rFonts w:ascii="Garamond" w:hAnsi="Garamond"/>
          <w:sz w:val="20"/>
          <w:szCs w:val="20"/>
        </w:rPr>
        <w:t>élections</w:t>
      </w:r>
      <w:proofErr w:type="spellEnd"/>
      <w:r w:rsidR="00C85E30" w:rsidRPr="004E64DB">
        <w:rPr>
          <w:rFonts w:ascii="Garamond" w:hAnsi="Garamond"/>
          <w:sz w:val="20"/>
          <w:szCs w:val="20"/>
        </w:rPr>
        <w:t xml:space="preserve"> </w:t>
      </w:r>
      <w:proofErr w:type="spellStart"/>
      <w:r w:rsidR="00C85E30" w:rsidRPr="004E64DB">
        <w:rPr>
          <w:rFonts w:ascii="Garamond" w:hAnsi="Garamond"/>
          <w:sz w:val="20"/>
          <w:szCs w:val="20"/>
        </w:rPr>
        <w:t>législatives</w:t>
      </w:r>
      <w:proofErr w:type="spellEnd"/>
      <w:r w:rsidR="00C85E30" w:rsidRPr="004E64DB">
        <w:rPr>
          <w:rFonts w:ascii="Garamond" w:hAnsi="Garamond"/>
          <w:sz w:val="20"/>
          <w:szCs w:val="20"/>
        </w:rPr>
        <w:t xml:space="preserve"> aux Fidji, une </w:t>
      </w:r>
      <w:proofErr w:type="spellStart"/>
      <w:r w:rsidR="00C85E30" w:rsidRPr="004E64DB">
        <w:rPr>
          <w:rFonts w:ascii="Garamond" w:hAnsi="Garamond"/>
          <w:sz w:val="20"/>
          <w:szCs w:val="20"/>
        </w:rPr>
        <w:t>étape</w:t>
      </w:r>
      <w:proofErr w:type="spellEnd"/>
      <w:r w:rsidR="00C85E30" w:rsidRPr="004E64DB">
        <w:rPr>
          <w:rFonts w:ascii="Garamond" w:hAnsi="Garamond"/>
          <w:sz w:val="20"/>
          <w:szCs w:val="20"/>
        </w:rPr>
        <w:t xml:space="preserve"> dans la transition </w:t>
      </w:r>
      <w:proofErr w:type="spellStart"/>
      <w:r w:rsidR="00C85E30" w:rsidRPr="004E64DB">
        <w:rPr>
          <w:rFonts w:ascii="Garamond" w:hAnsi="Garamond"/>
          <w:sz w:val="20"/>
          <w:szCs w:val="20"/>
        </w:rPr>
        <w:t>démocratique</w:t>
      </w:r>
      <w:proofErr w:type="spellEnd"/>
      <w:r w:rsidR="00C85E30" w:rsidRPr="004E64DB">
        <w:rPr>
          <w:rFonts w:ascii="Garamond" w:hAnsi="Garamond"/>
          <w:sz w:val="20"/>
          <w:szCs w:val="20"/>
        </w:rPr>
        <w:t xml:space="preserve"> de la </w:t>
      </w:r>
      <w:proofErr w:type="spellStart"/>
      <w:r w:rsidR="00C85E30" w:rsidRPr="004E64DB">
        <w:rPr>
          <w:rFonts w:ascii="Garamond" w:hAnsi="Garamond"/>
          <w:sz w:val="20"/>
          <w:szCs w:val="20"/>
        </w:rPr>
        <w:t>République</w:t>
      </w:r>
      <w:proofErr w:type="spellEnd"/>
      <w:r w:rsidR="00C85E30" w:rsidRPr="004E64DB">
        <w:rPr>
          <w:rFonts w:ascii="Garamond" w:hAnsi="Garamond"/>
          <w:sz w:val="20"/>
          <w:szCs w:val="20"/>
        </w:rPr>
        <w:t xml:space="preserve"> militaire », Blog </w:t>
      </w:r>
      <w:r w:rsidR="00C85E30" w:rsidRPr="004E64DB">
        <w:rPr>
          <w:rFonts w:ascii="Garamond" w:hAnsi="Garamond"/>
          <w:i/>
          <w:iCs/>
          <w:sz w:val="20"/>
          <w:szCs w:val="20"/>
        </w:rPr>
        <w:t xml:space="preserve">Jus </w:t>
      </w:r>
      <w:proofErr w:type="spellStart"/>
      <w:r w:rsidR="00C85E30" w:rsidRPr="004E64DB">
        <w:rPr>
          <w:rFonts w:ascii="Garamond" w:hAnsi="Garamond"/>
          <w:i/>
          <w:iCs/>
          <w:sz w:val="20"/>
          <w:szCs w:val="20"/>
        </w:rPr>
        <w:t>Politicum</w:t>
      </w:r>
      <w:proofErr w:type="spellEnd"/>
      <w:r w:rsidR="00C85E30" w:rsidRPr="004E64DB">
        <w:rPr>
          <w:rFonts w:ascii="Garamond" w:hAnsi="Garamond"/>
          <w:sz w:val="20"/>
          <w:szCs w:val="20"/>
        </w:rPr>
        <w:t xml:space="preserve">, 17 </w:t>
      </w:r>
      <w:proofErr w:type="spellStart"/>
      <w:r w:rsidR="00C85E30" w:rsidRPr="004E64DB">
        <w:rPr>
          <w:rFonts w:ascii="Garamond" w:hAnsi="Garamond"/>
          <w:sz w:val="20"/>
          <w:szCs w:val="20"/>
        </w:rPr>
        <w:t>décembre</w:t>
      </w:r>
      <w:proofErr w:type="spellEnd"/>
      <w:r w:rsidR="00C85E30" w:rsidRPr="004E64DB">
        <w:rPr>
          <w:rFonts w:ascii="Garamond" w:hAnsi="Garamond"/>
          <w:sz w:val="20"/>
          <w:szCs w:val="20"/>
        </w:rPr>
        <w:t xml:space="preserve"> 2018. </w:t>
      </w:r>
    </w:p>
    <w:p w14:paraId="5BC5D6BE" w14:textId="4694540C" w:rsidR="004846F6" w:rsidRPr="004846F6" w:rsidRDefault="004846F6" w:rsidP="004E64DB">
      <w:pPr>
        <w:spacing w:before="100" w:beforeAutospacing="1" w:after="100" w:afterAutospacing="1"/>
        <w:jc w:val="both"/>
        <w:rPr>
          <w:rFonts w:ascii="Garamond" w:hAnsi="Garamond"/>
          <w:sz w:val="20"/>
          <w:szCs w:val="20"/>
        </w:rPr>
      </w:pPr>
      <w:r>
        <w:rPr>
          <w:rFonts w:ascii="Garamond" w:hAnsi="Garamond"/>
          <w:sz w:val="20"/>
          <w:szCs w:val="20"/>
        </w:rPr>
        <w:t>4</w:t>
      </w:r>
      <w:r w:rsidR="00C85E30" w:rsidRPr="004E64DB">
        <w:rPr>
          <w:rFonts w:ascii="Garamond" w:hAnsi="Garamond"/>
          <w:sz w:val="20"/>
          <w:szCs w:val="20"/>
        </w:rPr>
        <w:t xml:space="preserve">.« Que peut-on attendre du </w:t>
      </w:r>
      <w:proofErr w:type="spellStart"/>
      <w:r w:rsidR="00C85E30" w:rsidRPr="004E64DB">
        <w:rPr>
          <w:rFonts w:ascii="Garamond" w:hAnsi="Garamond"/>
          <w:sz w:val="20"/>
          <w:szCs w:val="20"/>
        </w:rPr>
        <w:t>référendum</w:t>
      </w:r>
      <w:proofErr w:type="spellEnd"/>
      <w:r w:rsidR="00C85E30" w:rsidRPr="004E64DB">
        <w:rPr>
          <w:rFonts w:ascii="Garamond" w:hAnsi="Garamond"/>
          <w:sz w:val="20"/>
          <w:szCs w:val="20"/>
        </w:rPr>
        <w:t xml:space="preserve"> de 2018 sur la pleine </w:t>
      </w:r>
      <w:proofErr w:type="spellStart"/>
      <w:r w:rsidR="00C85E30" w:rsidRPr="004E64DB">
        <w:rPr>
          <w:rFonts w:ascii="Garamond" w:hAnsi="Garamond"/>
          <w:sz w:val="20"/>
          <w:szCs w:val="20"/>
        </w:rPr>
        <w:t>souverainete</w:t>
      </w:r>
      <w:proofErr w:type="spellEnd"/>
      <w:r w:rsidR="00C85E30" w:rsidRPr="004E64DB">
        <w:rPr>
          <w:rFonts w:ascii="Garamond" w:hAnsi="Garamond"/>
          <w:sz w:val="20"/>
          <w:szCs w:val="20"/>
        </w:rPr>
        <w:t xml:space="preserve">́ de la </w:t>
      </w:r>
      <w:proofErr w:type="spellStart"/>
      <w:r w:rsidR="00C85E30" w:rsidRPr="004E64DB">
        <w:rPr>
          <w:rFonts w:ascii="Garamond" w:hAnsi="Garamond"/>
          <w:sz w:val="20"/>
          <w:szCs w:val="20"/>
        </w:rPr>
        <w:t>Nouvelle-Calédonie</w:t>
      </w:r>
      <w:proofErr w:type="spellEnd"/>
      <w:r w:rsidR="00C85E30" w:rsidRPr="004E64DB">
        <w:rPr>
          <w:rFonts w:ascii="Garamond" w:hAnsi="Garamond"/>
          <w:sz w:val="20"/>
          <w:szCs w:val="20"/>
        </w:rPr>
        <w:t xml:space="preserve"> ? », Blog </w:t>
      </w:r>
      <w:r w:rsidR="00C85E30" w:rsidRPr="004E64DB">
        <w:rPr>
          <w:rFonts w:ascii="Garamond" w:hAnsi="Garamond"/>
          <w:i/>
          <w:iCs/>
          <w:sz w:val="20"/>
          <w:szCs w:val="20"/>
        </w:rPr>
        <w:t xml:space="preserve">Jus </w:t>
      </w:r>
      <w:proofErr w:type="spellStart"/>
      <w:r w:rsidR="00C85E30" w:rsidRPr="004E64DB">
        <w:rPr>
          <w:rFonts w:ascii="Garamond" w:hAnsi="Garamond"/>
          <w:i/>
          <w:iCs/>
          <w:sz w:val="20"/>
          <w:szCs w:val="20"/>
        </w:rPr>
        <w:t>Politicum</w:t>
      </w:r>
      <w:proofErr w:type="spellEnd"/>
      <w:r w:rsidR="00C85E30" w:rsidRPr="004E64DB">
        <w:rPr>
          <w:rFonts w:ascii="Garamond" w:hAnsi="Garamond"/>
          <w:sz w:val="20"/>
          <w:szCs w:val="20"/>
        </w:rPr>
        <w:t xml:space="preserve">, 13 </w:t>
      </w:r>
      <w:proofErr w:type="spellStart"/>
      <w:r w:rsidR="00C85E30" w:rsidRPr="004E64DB">
        <w:rPr>
          <w:rFonts w:ascii="Garamond" w:hAnsi="Garamond"/>
          <w:sz w:val="20"/>
          <w:szCs w:val="20"/>
        </w:rPr>
        <w:t>décembre</w:t>
      </w:r>
      <w:proofErr w:type="spellEnd"/>
      <w:r w:rsidR="00C85E30" w:rsidRPr="004E64DB">
        <w:rPr>
          <w:rFonts w:ascii="Garamond" w:hAnsi="Garamond"/>
          <w:sz w:val="20"/>
          <w:szCs w:val="20"/>
        </w:rPr>
        <w:t xml:space="preserve"> 2017. </w:t>
      </w:r>
    </w:p>
    <w:p w14:paraId="15BA9429" w14:textId="1BEB9B1C" w:rsidR="00C85E30" w:rsidRDefault="004846F6" w:rsidP="004E64DB">
      <w:pPr>
        <w:pStyle w:val="NormalWeb"/>
        <w:jc w:val="both"/>
        <w:rPr>
          <w:rFonts w:ascii="Garamond" w:hAnsi="Garamond"/>
          <w:sz w:val="20"/>
          <w:szCs w:val="20"/>
        </w:rPr>
      </w:pPr>
      <w:r>
        <w:rPr>
          <w:rFonts w:ascii="Garamond" w:hAnsi="Garamond"/>
          <w:sz w:val="20"/>
          <w:szCs w:val="20"/>
        </w:rPr>
        <w:t>3</w:t>
      </w:r>
      <w:r w:rsidR="00C85E30" w:rsidRPr="004E64DB">
        <w:rPr>
          <w:rFonts w:ascii="Garamond" w:hAnsi="Garamond"/>
          <w:sz w:val="20"/>
          <w:szCs w:val="20"/>
        </w:rPr>
        <w:t xml:space="preserve">. « La </w:t>
      </w:r>
      <w:proofErr w:type="spellStart"/>
      <w:r w:rsidR="00C85E30" w:rsidRPr="004E64DB">
        <w:rPr>
          <w:rFonts w:ascii="Garamond" w:hAnsi="Garamond"/>
          <w:sz w:val="20"/>
          <w:szCs w:val="20"/>
        </w:rPr>
        <w:t>neutralite</w:t>
      </w:r>
      <w:proofErr w:type="spellEnd"/>
      <w:r w:rsidR="00C85E30" w:rsidRPr="004E64DB">
        <w:rPr>
          <w:rFonts w:ascii="Garamond" w:hAnsi="Garamond"/>
          <w:sz w:val="20"/>
          <w:szCs w:val="20"/>
        </w:rPr>
        <w:t xml:space="preserve">́ du net toujours au cœur des </w:t>
      </w:r>
      <w:proofErr w:type="spellStart"/>
      <w:r w:rsidR="00C85E30" w:rsidRPr="004E64DB">
        <w:rPr>
          <w:rFonts w:ascii="Garamond" w:hAnsi="Garamond"/>
          <w:sz w:val="20"/>
          <w:szCs w:val="20"/>
        </w:rPr>
        <w:t>débats</w:t>
      </w:r>
      <w:proofErr w:type="spellEnd"/>
      <w:r w:rsidR="00C85E30" w:rsidRPr="004E64DB">
        <w:rPr>
          <w:rFonts w:ascii="Garamond" w:hAnsi="Garamond"/>
          <w:sz w:val="20"/>
          <w:szCs w:val="20"/>
        </w:rPr>
        <w:t xml:space="preserve"> », </w:t>
      </w:r>
      <w:r w:rsidR="00C85E30" w:rsidRPr="00FC26D8">
        <w:rPr>
          <w:rFonts w:ascii="Garamond" w:hAnsi="Garamond"/>
          <w:i/>
          <w:iCs/>
          <w:sz w:val="20"/>
          <w:szCs w:val="20"/>
        </w:rPr>
        <w:t>Droit &amp; Technologies</w:t>
      </w:r>
      <w:r w:rsidR="00C85E30" w:rsidRPr="004E64DB">
        <w:rPr>
          <w:rFonts w:ascii="Garamond" w:hAnsi="Garamond"/>
          <w:sz w:val="20"/>
          <w:szCs w:val="20"/>
        </w:rPr>
        <w:t xml:space="preserve">, 4 </w:t>
      </w:r>
      <w:proofErr w:type="spellStart"/>
      <w:r w:rsidR="00C85E30" w:rsidRPr="004E64DB">
        <w:rPr>
          <w:rFonts w:ascii="Garamond" w:hAnsi="Garamond"/>
          <w:sz w:val="20"/>
          <w:szCs w:val="20"/>
        </w:rPr>
        <w:t>décembre</w:t>
      </w:r>
      <w:proofErr w:type="spellEnd"/>
      <w:r w:rsidR="00C85E30" w:rsidRPr="004E64DB">
        <w:rPr>
          <w:rFonts w:ascii="Garamond" w:hAnsi="Garamond"/>
          <w:sz w:val="20"/>
          <w:szCs w:val="20"/>
        </w:rPr>
        <w:t xml:space="preserve"> 2017. </w:t>
      </w:r>
    </w:p>
    <w:p w14:paraId="23BA591E" w14:textId="78F3502B" w:rsidR="004846F6" w:rsidRPr="004846F6" w:rsidRDefault="004846F6" w:rsidP="004846F6">
      <w:pPr>
        <w:spacing w:before="100" w:beforeAutospacing="1" w:after="100" w:afterAutospacing="1"/>
        <w:jc w:val="both"/>
        <w:rPr>
          <w:rFonts w:ascii="Garamond" w:hAnsi="Garamond"/>
          <w:sz w:val="20"/>
          <w:szCs w:val="20"/>
          <w:lang w:val="en-US"/>
        </w:rPr>
      </w:pPr>
      <w:r>
        <w:rPr>
          <w:rFonts w:ascii="Garamond" w:hAnsi="Garamond"/>
          <w:sz w:val="20"/>
          <w:szCs w:val="20"/>
          <w:lang w:val="en-US"/>
        </w:rPr>
        <w:t>2</w:t>
      </w:r>
      <w:r w:rsidRPr="004E64DB">
        <w:rPr>
          <w:rFonts w:ascii="Garamond" w:hAnsi="Garamond"/>
          <w:sz w:val="20"/>
          <w:szCs w:val="20"/>
          <w:lang w:val="en-US"/>
        </w:rPr>
        <w:t xml:space="preserve">.« The Principles of Confidentiality of and </w:t>
      </w:r>
      <w:proofErr w:type="spellStart"/>
      <w:r w:rsidRPr="004E64DB">
        <w:rPr>
          <w:rFonts w:ascii="Garamond" w:hAnsi="Garamond"/>
          <w:sz w:val="20"/>
          <w:szCs w:val="20"/>
          <w:lang w:val="en-US"/>
        </w:rPr>
        <w:t>NonInterference</w:t>
      </w:r>
      <w:proofErr w:type="spellEnd"/>
      <w:r w:rsidRPr="004E64DB">
        <w:rPr>
          <w:rFonts w:ascii="Garamond" w:hAnsi="Garamond"/>
          <w:sz w:val="20"/>
          <w:szCs w:val="20"/>
          <w:lang w:val="en-US"/>
        </w:rPr>
        <w:t xml:space="preserve"> in the Communications with Lawyers and Legal Advisers (Legal Professional Privilege) regarding the recent ICJ and ECHR Case Law », </w:t>
      </w:r>
      <w:r w:rsidRPr="004E64DB">
        <w:rPr>
          <w:rFonts w:ascii="Garamond" w:hAnsi="Garamond"/>
          <w:i/>
          <w:iCs/>
          <w:sz w:val="20"/>
          <w:szCs w:val="20"/>
          <w:lang w:val="en-US"/>
        </w:rPr>
        <w:t>ASIL Insight</w:t>
      </w:r>
      <w:r w:rsidRPr="004E64DB">
        <w:rPr>
          <w:rFonts w:ascii="Garamond" w:hAnsi="Garamond"/>
          <w:sz w:val="20"/>
          <w:szCs w:val="20"/>
          <w:lang w:val="en-US"/>
        </w:rPr>
        <w:t xml:space="preserve">, Volume 20, Issue 16, 24 </w:t>
      </w:r>
      <w:proofErr w:type="spellStart"/>
      <w:r w:rsidRPr="004E64DB">
        <w:rPr>
          <w:rFonts w:ascii="Garamond" w:hAnsi="Garamond"/>
          <w:sz w:val="20"/>
          <w:szCs w:val="20"/>
          <w:lang w:val="en-US"/>
        </w:rPr>
        <w:t>octobre</w:t>
      </w:r>
      <w:proofErr w:type="spellEnd"/>
      <w:r w:rsidRPr="004E64DB">
        <w:rPr>
          <w:rFonts w:ascii="Garamond" w:hAnsi="Garamond"/>
          <w:sz w:val="20"/>
          <w:szCs w:val="20"/>
          <w:lang w:val="en-US"/>
        </w:rPr>
        <w:t xml:space="preserve"> 2016. </w:t>
      </w:r>
    </w:p>
    <w:p w14:paraId="2AFCD510" w14:textId="12182136" w:rsidR="00577718" w:rsidRPr="004E64DB" w:rsidRDefault="00C85E30" w:rsidP="004E64DB">
      <w:pPr>
        <w:spacing w:before="100" w:beforeAutospacing="1" w:after="100" w:afterAutospacing="1"/>
        <w:jc w:val="both"/>
        <w:rPr>
          <w:rFonts w:ascii="Garamond" w:hAnsi="Garamond"/>
          <w:sz w:val="20"/>
          <w:szCs w:val="20"/>
        </w:rPr>
      </w:pPr>
      <w:r w:rsidRPr="004E64DB">
        <w:rPr>
          <w:rFonts w:ascii="Garamond" w:hAnsi="Garamond"/>
          <w:sz w:val="20"/>
          <w:szCs w:val="20"/>
        </w:rPr>
        <w:lastRenderedPageBreak/>
        <w:t xml:space="preserve">1.« La bataille des </w:t>
      </w:r>
      <w:proofErr w:type="spellStart"/>
      <w:r w:rsidRPr="004E64DB">
        <w:rPr>
          <w:rFonts w:ascii="Garamond" w:hAnsi="Garamond"/>
          <w:sz w:val="20"/>
          <w:szCs w:val="20"/>
        </w:rPr>
        <w:t>déracinés</w:t>
      </w:r>
      <w:proofErr w:type="spellEnd"/>
      <w:r w:rsidRPr="004E64DB">
        <w:rPr>
          <w:rFonts w:ascii="Garamond" w:hAnsi="Garamond"/>
          <w:sz w:val="20"/>
          <w:szCs w:val="20"/>
        </w:rPr>
        <w:t xml:space="preserve"> des Chagos n’est pas </w:t>
      </w:r>
      <w:proofErr w:type="spellStart"/>
      <w:r w:rsidRPr="004E64DB">
        <w:rPr>
          <w:rFonts w:ascii="Garamond" w:hAnsi="Garamond"/>
          <w:sz w:val="20"/>
          <w:szCs w:val="20"/>
        </w:rPr>
        <w:t>terminée</w:t>
      </w:r>
      <w:proofErr w:type="spellEnd"/>
      <w:r w:rsidRPr="004E64DB">
        <w:rPr>
          <w:rFonts w:ascii="Garamond" w:hAnsi="Garamond"/>
          <w:sz w:val="20"/>
          <w:szCs w:val="20"/>
        </w:rPr>
        <w:t xml:space="preserve"> », </w:t>
      </w:r>
      <w:r w:rsidRPr="004E64DB">
        <w:rPr>
          <w:rFonts w:ascii="Garamond" w:hAnsi="Garamond"/>
          <w:i/>
          <w:iCs/>
          <w:sz w:val="20"/>
          <w:szCs w:val="20"/>
        </w:rPr>
        <w:t>Jeune Afrique</w:t>
      </w:r>
      <w:r w:rsidRPr="004E64DB">
        <w:rPr>
          <w:rFonts w:ascii="Garamond" w:hAnsi="Garamond"/>
          <w:sz w:val="20"/>
          <w:szCs w:val="20"/>
        </w:rPr>
        <w:t xml:space="preserve">, 9 </w:t>
      </w:r>
      <w:proofErr w:type="spellStart"/>
      <w:r w:rsidRPr="004E64DB">
        <w:rPr>
          <w:rFonts w:ascii="Garamond" w:hAnsi="Garamond"/>
          <w:sz w:val="20"/>
          <w:szCs w:val="20"/>
        </w:rPr>
        <w:t>aou</w:t>
      </w:r>
      <w:r w:rsidRPr="004E64DB">
        <w:rPr>
          <w:sz w:val="20"/>
          <w:szCs w:val="20"/>
        </w:rPr>
        <w:t>̂</w:t>
      </w:r>
      <w:r w:rsidRPr="004E64DB">
        <w:rPr>
          <w:rFonts w:ascii="Garamond" w:hAnsi="Garamond"/>
          <w:sz w:val="20"/>
          <w:szCs w:val="20"/>
        </w:rPr>
        <w:t>t</w:t>
      </w:r>
      <w:proofErr w:type="spellEnd"/>
      <w:r w:rsidRPr="004E64DB">
        <w:rPr>
          <w:rFonts w:ascii="Garamond" w:hAnsi="Garamond"/>
          <w:sz w:val="20"/>
          <w:szCs w:val="20"/>
        </w:rPr>
        <w:t xml:space="preserve"> 2016. </w:t>
      </w:r>
    </w:p>
    <w:p w14:paraId="25221FA7" w14:textId="0A44917A" w:rsidR="00155293" w:rsidRPr="004E64DB" w:rsidRDefault="00155293" w:rsidP="004E64DB">
      <w:pPr>
        <w:jc w:val="both"/>
        <w:rPr>
          <w:rFonts w:ascii="Garamond" w:hAnsi="Garamond"/>
          <w:sz w:val="20"/>
          <w:szCs w:val="20"/>
        </w:rPr>
      </w:pPr>
    </w:p>
    <w:sectPr w:rsidR="00155293" w:rsidRPr="004E64DB" w:rsidSect="007D204F">
      <w:footerReference w:type="first" r:id="rId8"/>
      <w:type w:val="continuous"/>
      <w:pgSz w:w="11906" w:h="16838"/>
      <w:pgMar w:top="1417" w:right="1417" w:bottom="1417" w:left="1417" w:header="708" w:footer="708" w:gutter="0"/>
      <w:pgNumType w:start="4"/>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62031E9" w14:textId="77777777" w:rsidR="00C775CB" w:rsidRDefault="00C775CB" w:rsidP="00C365D0">
      <w:r>
        <w:separator/>
      </w:r>
    </w:p>
  </w:endnote>
  <w:endnote w:type="continuationSeparator" w:id="0">
    <w:p w14:paraId="19941F37" w14:textId="77777777" w:rsidR="00C775CB" w:rsidRDefault="00C775CB" w:rsidP="00C365D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decorative"/>
    <w:pitch w:val="variable"/>
    <w:sig w:usb0="00000003" w:usb1="10000000" w:usb2="00000000" w:usb3="00000000" w:csb0="80000001"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AFF" w:usb1="C0007843" w:usb2="00000009" w:usb3="00000000" w:csb0="000001FF" w:csb1="00000000"/>
  </w:font>
  <w:font w:name="Segoe UI Symbol">
    <w:panose1 w:val="020B0502040204020203"/>
    <w:charset w:val="00"/>
    <w:family w:val="swiss"/>
    <w:pitch w:val="variable"/>
    <w:sig w:usb0="800001E3" w:usb1="1200FFEF" w:usb2="00040000" w:usb3="00000000" w:csb0="00000001" w:csb1="00000000"/>
  </w:font>
  <w:font w:name="TimesNewRomanPSMT">
    <w:altName w:val="Times New Roman"/>
    <w:panose1 w:val="020B0604020202020204"/>
    <w:charset w:val="00"/>
    <w:family w:val="roman"/>
    <w:notTrueType/>
    <w:pitch w:val="default"/>
  </w:font>
  <w:font w:name="Calibri">
    <w:panose1 w:val="020F0502020204030204"/>
    <w:charset w:val="00"/>
    <w:family w:val="swiss"/>
    <w:pitch w:val="variable"/>
    <w:sig w:usb0="E0002AFF" w:usb1="C000247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4D"/>
    <w:family w:val="decorative"/>
    <w:pitch w:val="variable"/>
    <w:sig w:usb0="00000003" w:usb1="00000000" w:usb2="00000000" w:usb3="00000000" w:csb0="80000001" w:csb1="00000000"/>
  </w:font>
  <w:font w:name="inherit">
    <w:altName w:val="Cambria"/>
    <w:panose1 w:val="020B0604020202020204"/>
    <w:charset w:val="00"/>
    <w:family w:val="roman"/>
    <w:notTrueType/>
    <w:pitch w:val="default"/>
  </w:font>
  <w:font w:name="Segoe UI">
    <w:panose1 w:val="020B0604020202020204"/>
    <w:charset w:val="00"/>
    <w:family w:val="swiss"/>
    <w:pitch w:val="variable"/>
    <w:sig w:usb0="E4002EFF" w:usb1="C000E47F" w:usb2="00000009" w:usb3="00000000" w:csb0="000001FF" w:csb1="00000000"/>
  </w:font>
  <w:font w:name="Garamond">
    <w:panose1 w:val="02020404030301010803"/>
    <w:charset w:val="00"/>
    <w:family w:val="roman"/>
    <w:pitch w:val="variable"/>
    <w:sig w:usb0="00000287" w:usb1="00000002" w:usb2="00000000" w:usb3="00000000" w:csb0="0000009F" w:csb1="00000000"/>
  </w:font>
  <w:font w:name="ƒX`Œ˛">
    <w:altName w:val="Calibri"/>
    <w:panose1 w:val="020B0604020202020204"/>
    <w:charset w:val="4D"/>
    <w:family w:val="auto"/>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9A07C69" w14:textId="77777777" w:rsidR="00FB052D" w:rsidRDefault="00FB052D" w:rsidP="00AD45A3">
    <w:pPr>
      <w:pStyle w:val="Pieddepage"/>
    </w:pPr>
  </w:p>
  <w:p w14:paraId="2CD1B5CE" w14:textId="77777777" w:rsidR="00FB052D" w:rsidRDefault="00FB052D">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B37E78E" w14:textId="77777777" w:rsidR="00C775CB" w:rsidRDefault="00C775CB" w:rsidP="00C365D0">
      <w:r>
        <w:separator/>
      </w:r>
    </w:p>
  </w:footnote>
  <w:footnote w:type="continuationSeparator" w:id="0">
    <w:p w14:paraId="23F84D5C" w14:textId="77777777" w:rsidR="00C775CB" w:rsidRDefault="00C775CB" w:rsidP="00C365D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F4A7857"/>
    <w:multiLevelType w:val="multilevel"/>
    <w:tmpl w:val="CC3225CA"/>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
      <w:lvlJc w:val="left"/>
      <w:pPr>
        <w:tabs>
          <w:tab w:val="num" w:pos="1440"/>
        </w:tabs>
        <w:ind w:left="1440" w:hanging="360"/>
      </w:pPr>
      <w:rPr>
        <w:rFonts w:ascii="Symbol" w:hAnsi="Symbol" w:hint="default"/>
        <w:sz w:val="20"/>
      </w:rPr>
    </w:lvl>
    <w:lvl w:ilvl="2" w:tentative="1">
      <w:start w:val="1"/>
      <w:numFmt w:val="bullet"/>
      <w:lvlText w:val=""/>
      <w:lvlJc w:val="left"/>
      <w:pPr>
        <w:tabs>
          <w:tab w:val="num" w:pos="2160"/>
        </w:tabs>
        <w:ind w:left="2160" w:hanging="360"/>
      </w:pPr>
      <w:rPr>
        <w:rFonts w:ascii="Symbol" w:hAnsi="Symbol" w:hint="default"/>
        <w:sz w:val="20"/>
      </w:rPr>
    </w:lvl>
    <w:lvl w:ilvl="3" w:tentative="1">
      <w:start w:val="1"/>
      <w:numFmt w:val="bullet"/>
      <w:lvlText w:val=""/>
      <w:lvlJc w:val="left"/>
      <w:pPr>
        <w:tabs>
          <w:tab w:val="num" w:pos="2880"/>
        </w:tabs>
        <w:ind w:left="2880" w:hanging="360"/>
      </w:pPr>
      <w:rPr>
        <w:rFonts w:ascii="Symbol" w:hAnsi="Symbol" w:hint="default"/>
        <w:sz w:val="20"/>
      </w:rPr>
    </w:lvl>
    <w:lvl w:ilvl="4" w:tentative="1">
      <w:start w:val="1"/>
      <w:numFmt w:val="bullet"/>
      <w:lvlText w:val=""/>
      <w:lvlJc w:val="left"/>
      <w:pPr>
        <w:tabs>
          <w:tab w:val="num" w:pos="3600"/>
        </w:tabs>
        <w:ind w:left="3600" w:hanging="360"/>
      </w:pPr>
      <w:rPr>
        <w:rFonts w:ascii="Symbol" w:hAnsi="Symbol" w:hint="default"/>
        <w:sz w:val="20"/>
      </w:rPr>
    </w:lvl>
    <w:lvl w:ilvl="5" w:tentative="1">
      <w:start w:val="1"/>
      <w:numFmt w:val="bullet"/>
      <w:lvlText w:val=""/>
      <w:lvlJc w:val="left"/>
      <w:pPr>
        <w:tabs>
          <w:tab w:val="num" w:pos="4320"/>
        </w:tabs>
        <w:ind w:left="4320" w:hanging="360"/>
      </w:pPr>
      <w:rPr>
        <w:rFonts w:ascii="Symbol" w:hAnsi="Symbol" w:hint="default"/>
        <w:sz w:val="20"/>
      </w:rPr>
    </w:lvl>
    <w:lvl w:ilvl="6" w:tentative="1">
      <w:start w:val="1"/>
      <w:numFmt w:val="bullet"/>
      <w:lvlText w:val=""/>
      <w:lvlJc w:val="left"/>
      <w:pPr>
        <w:tabs>
          <w:tab w:val="num" w:pos="5040"/>
        </w:tabs>
        <w:ind w:left="5040" w:hanging="360"/>
      </w:pPr>
      <w:rPr>
        <w:rFonts w:ascii="Symbol" w:hAnsi="Symbol" w:hint="default"/>
        <w:sz w:val="20"/>
      </w:rPr>
    </w:lvl>
    <w:lvl w:ilvl="7" w:tentative="1">
      <w:start w:val="1"/>
      <w:numFmt w:val="bullet"/>
      <w:lvlText w:val=""/>
      <w:lvlJc w:val="left"/>
      <w:pPr>
        <w:tabs>
          <w:tab w:val="num" w:pos="5760"/>
        </w:tabs>
        <w:ind w:left="5760" w:hanging="360"/>
      </w:pPr>
      <w:rPr>
        <w:rFonts w:ascii="Symbol" w:hAnsi="Symbol" w:hint="default"/>
        <w:sz w:val="20"/>
      </w:rPr>
    </w:lvl>
    <w:lvl w:ilvl="8" w:tentative="1">
      <w:start w:val="1"/>
      <w:numFmt w:val="bullet"/>
      <w:lvlText w:val=""/>
      <w:lvlJc w:val="left"/>
      <w:pPr>
        <w:tabs>
          <w:tab w:val="num" w:pos="6480"/>
        </w:tabs>
        <w:ind w:left="6480" w:hanging="360"/>
      </w:pPr>
      <w:rPr>
        <w:rFonts w:ascii="Symbol" w:hAnsi="Symbol" w:hint="default"/>
        <w:sz w:val="20"/>
      </w:rPr>
    </w:lvl>
  </w:abstractNum>
  <w:abstractNum w:abstractNumId="1" w15:restartNumberingAfterBreak="0">
    <w:nsid w:val="4D13061A"/>
    <w:multiLevelType w:val="hybridMultilevel"/>
    <w:tmpl w:val="656C50A6"/>
    <w:lvl w:ilvl="0" w:tplc="5C441B78">
      <w:start w:val="1"/>
      <w:numFmt w:val="bullet"/>
      <w:lvlText w:val="•"/>
      <w:lvlJc w:val="left"/>
      <w:pPr>
        <w:ind w:left="360"/>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1" w:tplc="247C01B2">
      <w:start w:val="1"/>
      <w:numFmt w:val="bullet"/>
      <w:lvlRestart w:val="0"/>
      <w:lvlText w:val="•"/>
      <w:lvlJc w:val="left"/>
      <w:pPr>
        <w:ind w:left="18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2" w:tplc="56DEE810">
      <w:start w:val="1"/>
      <w:numFmt w:val="bullet"/>
      <w:lvlText w:val="▪"/>
      <w:lvlJc w:val="left"/>
      <w:pPr>
        <w:ind w:left="25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3" w:tplc="6C7E8094">
      <w:start w:val="1"/>
      <w:numFmt w:val="bullet"/>
      <w:lvlText w:val="•"/>
      <w:lvlJc w:val="left"/>
      <w:pPr>
        <w:ind w:left="329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4" w:tplc="22C67998">
      <w:start w:val="1"/>
      <w:numFmt w:val="bullet"/>
      <w:lvlText w:val="o"/>
      <w:lvlJc w:val="left"/>
      <w:pPr>
        <w:ind w:left="401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5" w:tplc="367EEE58">
      <w:start w:val="1"/>
      <w:numFmt w:val="bullet"/>
      <w:lvlText w:val="▪"/>
      <w:lvlJc w:val="left"/>
      <w:pPr>
        <w:ind w:left="473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6" w:tplc="49F4908A">
      <w:start w:val="1"/>
      <w:numFmt w:val="bullet"/>
      <w:lvlText w:val="•"/>
      <w:lvlJc w:val="left"/>
      <w:pPr>
        <w:ind w:left="5454"/>
      </w:pPr>
      <w:rPr>
        <w:rFonts w:ascii="Arial" w:eastAsia="Arial" w:hAnsi="Arial" w:cs="Arial"/>
        <w:b w:val="0"/>
        <w:i w:val="0"/>
        <w:strike w:val="0"/>
        <w:dstrike w:val="0"/>
        <w:color w:val="000000"/>
        <w:sz w:val="20"/>
        <w:szCs w:val="20"/>
        <w:u w:val="none" w:color="000000"/>
        <w:bdr w:val="none" w:sz="0" w:space="0" w:color="auto"/>
        <w:shd w:val="clear" w:color="auto" w:fill="auto"/>
        <w:vertAlign w:val="baseline"/>
      </w:rPr>
    </w:lvl>
    <w:lvl w:ilvl="7" w:tplc="72D60572">
      <w:start w:val="1"/>
      <w:numFmt w:val="bullet"/>
      <w:lvlText w:val="o"/>
      <w:lvlJc w:val="left"/>
      <w:pPr>
        <w:ind w:left="617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lvl w:ilvl="8" w:tplc="65E8EB82">
      <w:start w:val="1"/>
      <w:numFmt w:val="bullet"/>
      <w:lvlText w:val="▪"/>
      <w:lvlJc w:val="left"/>
      <w:pPr>
        <w:ind w:left="6894"/>
      </w:pPr>
      <w:rPr>
        <w:rFonts w:ascii="Segoe UI Symbol" w:eastAsia="Segoe UI Symbol" w:hAnsi="Segoe UI Symbol" w:cs="Segoe UI Symbol"/>
        <w:b w:val="0"/>
        <w:i w:val="0"/>
        <w:strike w:val="0"/>
        <w:dstrike w:val="0"/>
        <w:color w:val="000000"/>
        <w:sz w:val="20"/>
        <w:szCs w:val="20"/>
        <w:u w:val="none" w:color="000000"/>
        <w:bdr w:val="none" w:sz="0" w:space="0" w:color="auto"/>
        <w:shd w:val="clear" w:color="auto" w:fill="auto"/>
        <w:vertAlign w:val="baseline"/>
      </w:rPr>
    </w:lvl>
  </w:abstractNum>
  <w:abstractNum w:abstractNumId="2" w15:restartNumberingAfterBreak="0">
    <w:nsid w:val="4D7E22BD"/>
    <w:multiLevelType w:val="hybridMultilevel"/>
    <w:tmpl w:val="7BFCD008"/>
    <w:lvl w:ilvl="0" w:tplc="B7D26636">
      <w:start w:val="1"/>
      <w:numFmt w:val="decimal"/>
      <w:lvlText w:val="%1."/>
      <w:lvlJc w:val="left"/>
      <w:pPr>
        <w:ind w:left="720" w:hanging="360"/>
      </w:pPr>
      <w:rPr>
        <w:rFonts w:ascii="TimesNewRomanPSMT" w:hAnsi="TimesNewRomanPSMT" w:hint="default"/>
        <w:sz w:val="22"/>
      </w:rPr>
    </w:lvl>
    <w:lvl w:ilvl="1" w:tplc="040C0019" w:tentative="1">
      <w:start w:val="1"/>
      <w:numFmt w:val="lowerLetter"/>
      <w:lvlText w:val="%2."/>
      <w:lvlJc w:val="left"/>
      <w:pPr>
        <w:ind w:left="1440" w:hanging="360"/>
      </w:pPr>
    </w:lvl>
    <w:lvl w:ilvl="2" w:tplc="040C001B" w:tentative="1">
      <w:start w:val="1"/>
      <w:numFmt w:val="lowerRoman"/>
      <w:lvlText w:val="%3."/>
      <w:lvlJc w:val="right"/>
      <w:pPr>
        <w:ind w:left="2160" w:hanging="180"/>
      </w:pPr>
    </w:lvl>
    <w:lvl w:ilvl="3" w:tplc="040C000F" w:tentative="1">
      <w:start w:val="1"/>
      <w:numFmt w:val="decimal"/>
      <w:lvlText w:val="%4."/>
      <w:lvlJc w:val="left"/>
      <w:pPr>
        <w:ind w:left="2880" w:hanging="360"/>
      </w:pPr>
    </w:lvl>
    <w:lvl w:ilvl="4" w:tplc="040C0019" w:tentative="1">
      <w:start w:val="1"/>
      <w:numFmt w:val="lowerLetter"/>
      <w:lvlText w:val="%5."/>
      <w:lvlJc w:val="left"/>
      <w:pPr>
        <w:ind w:left="3600" w:hanging="360"/>
      </w:pPr>
    </w:lvl>
    <w:lvl w:ilvl="5" w:tplc="040C001B" w:tentative="1">
      <w:start w:val="1"/>
      <w:numFmt w:val="lowerRoman"/>
      <w:lvlText w:val="%6."/>
      <w:lvlJc w:val="right"/>
      <w:pPr>
        <w:ind w:left="4320" w:hanging="180"/>
      </w:pPr>
    </w:lvl>
    <w:lvl w:ilvl="6" w:tplc="040C000F" w:tentative="1">
      <w:start w:val="1"/>
      <w:numFmt w:val="decimal"/>
      <w:lvlText w:val="%7."/>
      <w:lvlJc w:val="left"/>
      <w:pPr>
        <w:ind w:left="5040" w:hanging="360"/>
      </w:pPr>
    </w:lvl>
    <w:lvl w:ilvl="7" w:tplc="040C0019" w:tentative="1">
      <w:start w:val="1"/>
      <w:numFmt w:val="lowerLetter"/>
      <w:lvlText w:val="%8."/>
      <w:lvlJc w:val="left"/>
      <w:pPr>
        <w:ind w:left="5760" w:hanging="360"/>
      </w:pPr>
    </w:lvl>
    <w:lvl w:ilvl="8" w:tplc="040C001B" w:tentative="1">
      <w:start w:val="1"/>
      <w:numFmt w:val="lowerRoman"/>
      <w:lvlText w:val="%9."/>
      <w:lvlJc w:val="right"/>
      <w:pPr>
        <w:ind w:left="6480" w:hanging="180"/>
      </w:pPr>
    </w:lvl>
  </w:abstractNum>
  <w:abstractNum w:abstractNumId="3" w15:restartNumberingAfterBreak="0">
    <w:nsid w:val="6778381D"/>
    <w:multiLevelType w:val="hybridMultilevel"/>
    <w:tmpl w:val="9A9E14C4"/>
    <w:lvl w:ilvl="0" w:tplc="91C6C37A">
      <w:start w:val="19"/>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abstractNum w:abstractNumId="4" w15:restartNumberingAfterBreak="0">
    <w:nsid w:val="6DA9465E"/>
    <w:multiLevelType w:val="hybridMultilevel"/>
    <w:tmpl w:val="E9285D08"/>
    <w:lvl w:ilvl="0" w:tplc="1E447924">
      <w:start w:val="2006"/>
      <w:numFmt w:val="bullet"/>
      <w:lvlText w:val="-"/>
      <w:lvlJc w:val="left"/>
      <w:pPr>
        <w:ind w:left="720" w:hanging="360"/>
      </w:pPr>
      <w:rPr>
        <w:rFonts w:ascii="inherit" w:eastAsia="Times New Roman" w:hAnsi="inherit" w:cs="Courier New"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4"/>
  </w:num>
  <w:num w:numId="3">
    <w:abstractNumId w:val="3"/>
  </w:num>
  <w:num w:numId="4">
    <w:abstractNumId w:val="0"/>
  </w:num>
  <w:num w:numId="5">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80"/>
  <w:proofState w:spelling="clean" w:grammar="clean"/>
  <w:defaultTabStop w:val="709"/>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3A37A7"/>
    <w:rsid w:val="00002B0D"/>
    <w:rsid w:val="00006D6B"/>
    <w:rsid w:val="00011192"/>
    <w:rsid w:val="0001143E"/>
    <w:rsid w:val="00014038"/>
    <w:rsid w:val="00021E7A"/>
    <w:rsid w:val="00032CF6"/>
    <w:rsid w:val="00034392"/>
    <w:rsid w:val="0003612E"/>
    <w:rsid w:val="00043E1C"/>
    <w:rsid w:val="0004579A"/>
    <w:rsid w:val="00050BE9"/>
    <w:rsid w:val="00052CBC"/>
    <w:rsid w:val="00053E98"/>
    <w:rsid w:val="0005543D"/>
    <w:rsid w:val="000610EA"/>
    <w:rsid w:val="000746EE"/>
    <w:rsid w:val="000755DE"/>
    <w:rsid w:val="00081FAF"/>
    <w:rsid w:val="0008461A"/>
    <w:rsid w:val="00084D02"/>
    <w:rsid w:val="000850CA"/>
    <w:rsid w:val="000A3DB0"/>
    <w:rsid w:val="000B4558"/>
    <w:rsid w:val="000B66C1"/>
    <w:rsid w:val="000C0DF0"/>
    <w:rsid w:val="000C2227"/>
    <w:rsid w:val="000C6E44"/>
    <w:rsid w:val="000C6EF1"/>
    <w:rsid w:val="000C7E44"/>
    <w:rsid w:val="000D6EA0"/>
    <w:rsid w:val="000D7347"/>
    <w:rsid w:val="001041ED"/>
    <w:rsid w:val="00104C1E"/>
    <w:rsid w:val="00110C13"/>
    <w:rsid w:val="0012242A"/>
    <w:rsid w:val="00123C4D"/>
    <w:rsid w:val="00124373"/>
    <w:rsid w:val="00125E98"/>
    <w:rsid w:val="00133B22"/>
    <w:rsid w:val="00135C52"/>
    <w:rsid w:val="001368BB"/>
    <w:rsid w:val="001423E6"/>
    <w:rsid w:val="001513EB"/>
    <w:rsid w:val="00152760"/>
    <w:rsid w:val="00152D14"/>
    <w:rsid w:val="00155293"/>
    <w:rsid w:val="00171B14"/>
    <w:rsid w:val="00172365"/>
    <w:rsid w:val="00174677"/>
    <w:rsid w:val="001A4949"/>
    <w:rsid w:val="001B2BF9"/>
    <w:rsid w:val="001B3C55"/>
    <w:rsid w:val="001B62D1"/>
    <w:rsid w:val="001C056D"/>
    <w:rsid w:val="001C5C02"/>
    <w:rsid w:val="001D184F"/>
    <w:rsid w:val="001D5B02"/>
    <w:rsid w:val="001E1CCF"/>
    <w:rsid w:val="001E59D0"/>
    <w:rsid w:val="001E6249"/>
    <w:rsid w:val="001E741B"/>
    <w:rsid w:val="001F77DE"/>
    <w:rsid w:val="00220454"/>
    <w:rsid w:val="00222662"/>
    <w:rsid w:val="00235A54"/>
    <w:rsid w:val="002408E1"/>
    <w:rsid w:val="00243E78"/>
    <w:rsid w:val="00251912"/>
    <w:rsid w:val="002524CA"/>
    <w:rsid w:val="0026711B"/>
    <w:rsid w:val="0027302A"/>
    <w:rsid w:val="0027668D"/>
    <w:rsid w:val="00294098"/>
    <w:rsid w:val="002A5B34"/>
    <w:rsid w:val="002A6BF0"/>
    <w:rsid w:val="002B25D0"/>
    <w:rsid w:val="002C37CB"/>
    <w:rsid w:val="002D3D4A"/>
    <w:rsid w:val="002F2C4D"/>
    <w:rsid w:val="002F3C95"/>
    <w:rsid w:val="002F6CDC"/>
    <w:rsid w:val="00302645"/>
    <w:rsid w:val="003116B8"/>
    <w:rsid w:val="00314E4D"/>
    <w:rsid w:val="00316885"/>
    <w:rsid w:val="00323828"/>
    <w:rsid w:val="003277D0"/>
    <w:rsid w:val="00331912"/>
    <w:rsid w:val="00331C9C"/>
    <w:rsid w:val="00332D2E"/>
    <w:rsid w:val="00363964"/>
    <w:rsid w:val="00364F7C"/>
    <w:rsid w:val="003717F7"/>
    <w:rsid w:val="00373EF6"/>
    <w:rsid w:val="00383401"/>
    <w:rsid w:val="00383B9A"/>
    <w:rsid w:val="0038545E"/>
    <w:rsid w:val="003876B0"/>
    <w:rsid w:val="00394FEE"/>
    <w:rsid w:val="003A0EB5"/>
    <w:rsid w:val="003A37A7"/>
    <w:rsid w:val="003C067D"/>
    <w:rsid w:val="003D266D"/>
    <w:rsid w:val="003D6E36"/>
    <w:rsid w:val="003E266E"/>
    <w:rsid w:val="003F6473"/>
    <w:rsid w:val="003F6CF3"/>
    <w:rsid w:val="004168B2"/>
    <w:rsid w:val="00416C85"/>
    <w:rsid w:val="00441D1B"/>
    <w:rsid w:val="004455CE"/>
    <w:rsid w:val="004517DC"/>
    <w:rsid w:val="00455E2C"/>
    <w:rsid w:val="00457902"/>
    <w:rsid w:val="00476C60"/>
    <w:rsid w:val="00477AC1"/>
    <w:rsid w:val="004824C8"/>
    <w:rsid w:val="00484326"/>
    <w:rsid w:val="004846F6"/>
    <w:rsid w:val="00495903"/>
    <w:rsid w:val="004A1190"/>
    <w:rsid w:val="004A34D8"/>
    <w:rsid w:val="004B1BD4"/>
    <w:rsid w:val="004B53B6"/>
    <w:rsid w:val="004B6570"/>
    <w:rsid w:val="004D2C83"/>
    <w:rsid w:val="004D4696"/>
    <w:rsid w:val="004E5E89"/>
    <w:rsid w:val="004E64DB"/>
    <w:rsid w:val="004F77B9"/>
    <w:rsid w:val="00500A4A"/>
    <w:rsid w:val="005013BE"/>
    <w:rsid w:val="00510041"/>
    <w:rsid w:val="00514B77"/>
    <w:rsid w:val="00515738"/>
    <w:rsid w:val="005272E9"/>
    <w:rsid w:val="005332B9"/>
    <w:rsid w:val="00536ED5"/>
    <w:rsid w:val="00537542"/>
    <w:rsid w:val="00546E8C"/>
    <w:rsid w:val="0056344A"/>
    <w:rsid w:val="005650BE"/>
    <w:rsid w:val="00577718"/>
    <w:rsid w:val="00580CA9"/>
    <w:rsid w:val="00583E69"/>
    <w:rsid w:val="00590E09"/>
    <w:rsid w:val="005A5DC3"/>
    <w:rsid w:val="005A77CB"/>
    <w:rsid w:val="005B223D"/>
    <w:rsid w:val="005D0219"/>
    <w:rsid w:val="005D0546"/>
    <w:rsid w:val="005D07B5"/>
    <w:rsid w:val="005D299C"/>
    <w:rsid w:val="005D5DFE"/>
    <w:rsid w:val="005E1BA3"/>
    <w:rsid w:val="005F49D0"/>
    <w:rsid w:val="005F5C4D"/>
    <w:rsid w:val="0060107F"/>
    <w:rsid w:val="006066F7"/>
    <w:rsid w:val="006072BA"/>
    <w:rsid w:val="00610869"/>
    <w:rsid w:val="0061702A"/>
    <w:rsid w:val="006223D1"/>
    <w:rsid w:val="0062327A"/>
    <w:rsid w:val="006250FA"/>
    <w:rsid w:val="006264C1"/>
    <w:rsid w:val="00631E5C"/>
    <w:rsid w:val="00644D2A"/>
    <w:rsid w:val="00645152"/>
    <w:rsid w:val="006529C2"/>
    <w:rsid w:val="0065308B"/>
    <w:rsid w:val="00654B25"/>
    <w:rsid w:val="006622E2"/>
    <w:rsid w:val="00662803"/>
    <w:rsid w:val="00664058"/>
    <w:rsid w:val="006736A4"/>
    <w:rsid w:val="00685964"/>
    <w:rsid w:val="00686F24"/>
    <w:rsid w:val="0069180F"/>
    <w:rsid w:val="00693F7C"/>
    <w:rsid w:val="006945FF"/>
    <w:rsid w:val="006A2FAB"/>
    <w:rsid w:val="006A736C"/>
    <w:rsid w:val="006A7630"/>
    <w:rsid w:val="006B5147"/>
    <w:rsid w:val="006B5E54"/>
    <w:rsid w:val="006C1839"/>
    <w:rsid w:val="006D6A29"/>
    <w:rsid w:val="006E366F"/>
    <w:rsid w:val="006E5706"/>
    <w:rsid w:val="006E71F6"/>
    <w:rsid w:val="006F2CD6"/>
    <w:rsid w:val="0071303D"/>
    <w:rsid w:val="00721A23"/>
    <w:rsid w:val="00721F21"/>
    <w:rsid w:val="0072310A"/>
    <w:rsid w:val="00725452"/>
    <w:rsid w:val="007322FD"/>
    <w:rsid w:val="00736A3E"/>
    <w:rsid w:val="00737CA6"/>
    <w:rsid w:val="00741668"/>
    <w:rsid w:val="00745686"/>
    <w:rsid w:val="00746239"/>
    <w:rsid w:val="007654AB"/>
    <w:rsid w:val="00775E23"/>
    <w:rsid w:val="00777ECC"/>
    <w:rsid w:val="0078092B"/>
    <w:rsid w:val="007855C9"/>
    <w:rsid w:val="007A38CE"/>
    <w:rsid w:val="007A5FCA"/>
    <w:rsid w:val="007A63B9"/>
    <w:rsid w:val="007A68F5"/>
    <w:rsid w:val="007B70F3"/>
    <w:rsid w:val="007C228A"/>
    <w:rsid w:val="007C3D0E"/>
    <w:rsid w:val="007C5512"/>
    <w:rsid w:val="007D0088"/>
    <w:rsid w:val="007D204F"/>
    <w:rsid w:val="007F782D"/>
    <w:rsid w:val="00800FD5"/>
    <w:rsid w:val="008032A1"/>
    <w:rsid w:val="00803BE1"/>
    <w:rsid w:val="008252CC"/>
    <w:rsid w:val="00837415"/>
    <w:rsid w:val="0085178F"/>
    <w:rsid w:val="00854257"/>
    <w:rsid w:val="008575CF"/>
    <w:rsid w:val="00871CDA"/>
    <w:rsid w:val="0088042B"/>
    <w:rsid w:val="00883122"/>
    <w:rsid w:val="00883824"/>
    <w:rsid w:val="00896870"/>
    <w:rsid w:val="008A6066"/>
    <w:rsid w:val="008A62E4"/>
    <w:rsid w:val="008B31C1"/>
    <w:rsid w:val="008C5A9F"/>
    <w:rsid w:val="008D27B3"/>
    <w:rsid w:val="008D4511"/>
    <w:rsid w:val="008F5E45"/>
    <w:rsid w:val="008F7C23"/>
    <w:rsid w:val="0090375C"/>
    <w:rsid w:val="00904BFF"/>
    <w:rsid w:val="00910A19"/>
    <w:rsid w:val="00910A7F"/>
    <w:rsid w:val="0091434D"/>
    <w:rsid w:val="0091626E"/>
    <w:rsid w:val="00921967"/>
    <w:rsid w:val="00925A7F"/>
    <w:rsid w:val="009360AC"/>
    <w:rsid w:val="00950791"/>
    <w:rsid w:val="00956629"/>
    <w:rsid w:val="009618A6"/>
    <w:rsid w:val="009B4ECA"/>
    <w:rsid w:val="009B58F9"/>
    <w:rsid w:val="009C2778"/>
    <w:rsid w:val="009C77EF"/>
    <w:rsid w:val="009D6B44"/>
    <w:rsid w:val="009E46E3"/>
    <w:rsid w:val="009E5D3B"/>
    <w:rsid w:val="009F4032"/>
    <w:rsid w:val="009F4ED3"/>
    <w:rsid w:val="00A01913"/>
    <w:rsid w:val="00A028FE"/>
    <w:rsid w:val="00A051DD"/>
    <w:rsid w:val="00A218DD"/>
    <w:rsid w:val="00A26766"/>
    <w:rsid w:val="00A40825"/>
    <w:rsid w:val="00A42FE8"/>
    <w:rsid w:val="00A458CB"/>
    <w:rsid w:val="00A4786F"/>
    <w:rsid w:val="00A47DE4"/>
    <w:rsid w:val="00A51657"/>
    <w:rsid w:val="00A652D8"/>
    <w:rsid w:val="00A80DD4"/>
    <w:rsid w:val="00A911FB"/>
    <w:rsid w:val="00A92798"/>
    <w:rsid w:val="00A95B43"/>
    <w:rsid w:val="00AA0697"/>
    <w:rsid w:val="00AA09DD"/>
    <w:rsid w:val="00AB5485"/>
    <w:rsid w:val="00AC290A"/>
    <w:rsid w:val="00AC552F"/>
    <w:rsid w:val="00AD45A3"/>
    <w:rsid w:val="00AE4824"/>
    <w:rsid w:val="00AF1912"/>
    <w:rsid w:val="00AF4385"/>
    <w:rsid w:val="00B02162"/>
    <w:rsid w:val="00B03A61"/>
    <w:rsid w:val="00B06D5F"/>
    <w:rsid w:val="00B0718B"/>
    <w:rsid w:val="00B1776F"/>
    <w:rsid w:val="00B402C5"/>
    <w:rsid w:val="00B44B77"/>
    <w:rsid w:val="00B45ED8"/>
    <w:rsid w:val="00B4795E"/>
    <w:rsid w:val="00B52C89"/>
    <w:rsid w:val="00B536C1"/>
    <w:rsid w:val="00B5390B"/>
    <w:rsid w:val="00B54CF9"/>
    <w:rsid w:val="00B56AE5"/>
    <w:rsid w:val="00B60C76"/>
    <w:rsid w:val="00B61712"/>
    <w:rsid w:val="00B61C15"/>
    <w:rsid w:val="00B716EA"/>
    <w:rsid w:val="00B74818"/>
    <w:rsid w:val="00B778D0"/>
    <w:rsid w:val="00B80A74"/>
    <w:rsid w:val="00B92480"/>
    <w:rsid w:val="00B96976"/>
    <w:rsid w:val="00B97336"/>
    <w:rsid w:val="00BA01ED"/>
    <w:rsid w:val="00BA4619"/>
    <w:rsid w:val="00BA5717"/>
    <w:rsid w:val="00BB0AD5"/>
    <w:rsid w:val="00BD4C66"/>
    <w:rsid w:val="00BF6C53"/>
    <w:rsid w:val="00BF6D90"/>
    <w:rsid w:val="00BF74BD"/>
    <w:rsid w:val="00C03F1A"/>
    <w:rsid w:val="00C05CCD"/>
    <w:rsid w:val="00C21F82"/>
    <w:rsid w:val="00C26722"/>
    <w:rsid w:val="00C30B75"/>
    <w:rsid w:val="00C35EFE"/>
    <w:rsid w:val="00C365D0"/>
    <w:rsid w:val="00C37077"/>
    <w:rsid w:val="00C37E30"/>
    <w:rsid w:val="00C43B73"/>
    <w:rsid w:val="00C4484F"/>
    <w:rsid w:val="00C506E6"/>
    <w:rsid w:val="00C52B02"/>
    <w:rsid w:val="00C71EFC"/>
    <w:rsid w:val="00C7638C"/>
    <w:rsid w:val="00C775CB"/>
    <w:rsid w:val="00C82BF1"/>
    <w:rsid w:val="00C84CD4"/>
    <w:rsid w:val="00C85E30"/>
    <w:rsid w:val="00C86600"/>
    <w:rsid w:val="00C9299E"/>
    <w:rsid w:val="00CA4D7E"/>
    <w:rsid w:val="00CA58FD"/>
    <w:rsid w:val="00CB26B6"/>
    <w:rsid w:val="00CB44AA"/>
    <w:rsid w:val="00CB713F"/>
    <w:rsid w:val="00CC4A49"/>
    <w:rsid w:val="00CD152D"/>
    <w:rsid w:val="00CD173C"/>
    <w:rsid w:val="00CD78B6"/>
    <w:rsid w:val="00CE29BF"/>
    <w:rsid w:val="00CF0485"/>
    <w:rsid w:val="00CF3EBC"/>
    <w:rsid w:val="00D06938"/>
    <w:rsid w:val="00D43CA6"/>
    <w:rsid w:val="00D63364"/>
    <w:rsid w:val="00D7601F"/>
    <w:rsid w:val="00DA1236"/>
    <w:rsid w:val="00DA1527"/>
    <w:rsid w:val="00DA1F8F"/>
    <w:rsid w:val="00DA3466"/>
    <w:rsid w:val="00DA56EE"/>
    <w:rsid w:val="00DB0F99"/>
    <w:rsid w:val="00DB5DCE"/>
    <w:rsid w:val="00DD728D"/>
    <w:rsid w:val="00DF6ADB"/>
    <w:rsid w:val="00E07326"/>
    <w:rsid w:val="00E17504"/>
    <w:rsid w:val="00E3153A"/>
    <w:rsid w:val="00E330A8"/>
    <w:rsid w:val="00E41E49"/>
    <w:rsid w:val="00E424EE"/>
    <w:rsid w:val="00E45063"/>
    <w:rsid w:val="00E45C20"/>
    <w:rsid w:val="00E65A72"/>
    <w:rsid w:val="00E74136"/>
    <w:rsid w:val="00E75F14"/>
    <w:rsid w:val="00E80C5C"/>
    <w:rsid w:val="00EA3E90"/>
    <w:rsid w:val="00EB3AC8"/>
    <w:rsid w:val="00EC7572"/>
    <w:rsid w:val="00ED19EB"/>
    <w:rsid w:val="00ED4A55"/>
    <w:rsid w:val="00EE3EF1"/>
    <w:rsid w:val="00EE6A0B"/>
    <w:rsid w:val="00F03C03"/>
    <w:rsid w:val="00F10C08"/>
    <w:rsid w:val="00F11EE5"/>
    <w:rsid w:val="00F40285"/>
    <w:rsid w:val="00F539F0"/>
    <w:rsid w:val="00F727C9"/>
    <w:rsid w:val="00F72E83"/>
    <w:rsid w:val="00F73505"/>
    <w:rsid w:val="00F81340"/>
    <w:rsid w:val="00F82A5A"/>
    <w:rsid w:val="00F84F76"/>
    <w:rsid w:val="00FA0BB0"/>
    <w:rsid w:val="00FA133C"/>
    <w:rsid w:val="00FA6607"/>
    <w:rsid w:val="00FA7D40"/>
    <w:rsid w:val="00FB052D"/>
    <w:rsid w:val="00FB7657"/>
    <w:rsid w:val="00FC26D8"/>
    <w:rsid w:val="00FC60DD"/>
    <w:rsid w:val="00FC6F9C"/>
    <w:rsid w:val="00FC739C"/>
    <w:rsid w:val="00FE4441"/>
    <w:rsid w:val="00FE4D33"/>
    <w:rsid w:val="00FF1CF5"/>
    <w:rsid w:val="00FF2F90"/>
    <w:rsid w:val="00FF688B"/>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4AE4E70"/>
  <w15:chartTrackingRefBased/>
  <w15:docId w15:val="{3B70079C-C956-664F-951C-1C2B7AD3A34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fr-F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qFormat="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qFormat="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40825"/>
    <w:pPr>
      <w:spacing w:after="0" w:line="240" w:lineRule="auto"/>
    </w:pPr>
    <w:rPr>
      <w:rFonts w:ascii="Times New Roman" w:eastAsia="Times New Roman" w:hAnsi="Times New Roman" w:cs="Times New Roman"/>
      <w:sz w:val="24"/>
      <w:szCs w:val="24"/>
      <w:lang w:eastAsia="fr-FR"/>
    </w:rPr>
  </w:style>
  <w:style w:type="paragraph" w:styleId="Titre1">
    <w:name w:val="heading 1"/>
    <w:basedOn w:val="Normal"/>
    <w:link w:val="Titre1Car"/>
    <w:uiPriority w:val="9"/>
    <w:qFormat/>
    <w:rsid w:val="00F727C9"/>
    <w:pPr>
      <w:spacing w:before="100" w:beforeAutospacing="1" w:after="100" w:afterAutospacing="1"/>
      <w:outlineLvl w:val="0"/>
    </w:pPr>
    <w:rPr>
      <w:b/>
      <w:bCs/>
      <w:kern w:val="36"/>
      <w:sz w:val="48"/>
      <w:szCs w:val="48"/>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rformatHTML">
    <w:name w:val="HTML Preformatted"/>
    <w:basedOn w:val="Normal"/>
    <w:link w:val="PrformatHTMLCar"/>
    <w:uiPriority w:val="99"/>
    <w:unhideWhenUsed/>
    <w:rsid w:val="003A37A7"/>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pPr>
    <w:rPr>
      <w:rFonts w:ascii="Courier New" w:hAnsi="Courier New" w:cs="Courier New"/>
      <w:sz w:val="20"/>
      <w:szCs w:val="20"/>
    </w:rPr>
  </w:style>
  <w:style w:type="character" w:customStyle="1" w:styleId="PrformatHTMLCar">
    <w:name w:val="Préformaté HTML Car"/>
    <w:basedOn w:val="Policepardfaut"/>
    <w:link w:val="PrformatHTML"/>
    <w:uiPriority w:val="99"/>
    <w:rsid w:val="003A37A7"/>
    <w:rPr>
      <w:rFonts w:ascii="Courier New" w:eastAsia="Times New Roman" w:hAnsi="Courier New" w:cs="Courier New"/>
      <w:sz w:val="20"/>
      <w:szCs w:val="20"/>
      <w:lang w:eastAsia="fr-FR"/>
    </w:rPr>
  </w:style>
  <w:style w:type="paragraph" w:styleId="En-tte">
    <w:name w:val="header"/>
    <w:basedOn w:val="Normal"/>
    <w:link w:val="En-tteCar"/>
    <w:uiPriority w:val="99"/>
    <w:unhideWhenUsed/>
    <w:rsid w:val="00C365D0"/>
    <w:pPr>
      <w:tabs>
        <w:tab w:val="center" w:pos="4536"/>
        <w:tab w:val="right" w:pos="9072"/>
      </w:tabs>
    </w:pPr>
    <w:rPr>
      <w:rFonts w:asciiTheme="minorHAnsi" w:eastAsiaTheme="minorHAnsi" w:hAnsiTheme="minorHAnsi" w:cstheme="minorBidi"/>
      <w:sz w:val="22"/>
      <w:szCs w:val="22"/>
      <w:lang w:eastAsia="en-US"/>
    </w:rPr>
  </w:style>
  <w:style w:type="character" w:customStyle="1" w:styleId="En-tteCar">
    <w:name w:val="En-tête Car"/>
    <w:basedOn w:val="Policepardfaut"/>
    <w:link w:val="En-tte"/>
    <w:uiPriority w:val="99"/>
    <w:rsid w:val="00C365D0"/>
  </w:style>
  <w:style w:type="paragraph" w:styleId="Pieddepage">
    <w:name w:val="footer"/>
    <w:basedOn w:val="Normal"/>
    <w:link w:val="PieddepageCar"/>
    <w:uiPriority w:val="99"/>
    <w:unhideWhenUsed/>
    <w:rsid w:val="00C365D0"/>
    <w:pPr>
      <w:tabs>
        <w:tab w:val="center" w:pos="4536"/>
        <w:tab w:val="right" w:pos="9072"/>
      </w:tabs>
    </w:pPr>
    <w:rPr>
      <w:rFonts w:asciiTheme="minorHAnsi" w:eastAsiaTheme="minorHAnsi" w:hAnsiTheme="minorHAnsi" w:cstheme="minorBidi"/>
      <w:sz w:val="22"/>
      <w:szCs w:val="22"/>
      <w:lang w:eastAsia="en-US"/>
    </w:rPr>
  </w:style>
  <w:style w:type="character" w:customStyle="1" w:styleId="PieddepageCar">
    <w:name w:val="Pied de page Car"/>
    <w:basedOn w:val="Policepardfaut"/>
    <w:link w:val="Pieddepage"/>
    <w:uiPriority w:val="99"/>
    <w:rsid w:val="00C365D0"/>
  </w:style>
  <w:style w:type="paragraph" w:styleId="Paragraphedeliste">
    <w:name w:val="List Paragraph"/>
    <w:basedOn w:val="Normal"/>
    <w:uiPriority w:val="34"/>
    <w:qFormat/>
    <w:rsid w:val="00110C13"/>
    <w:pPr>
      <w:spacing w:after="160" w:line="259" w:lineRule="auto"/>
      <w:ind w:left="720"/>
      <w:contextualSpacing/>
    </w:pPr>
    <w:rPr>
      <w:rFonts w:asciiTheme="minorHAnsi" w:eastAsiaTheme="minorHAnsi" w:hAnsiTheme="minorHAnsi" w:cstheme="minorBidi"/>
      <w:sz w:val="22"/>
      <w:szCs w:val="22"/>
      <w:lang w:eastAsia="en-US"/>
    </w:rPr>
  </w:style>
  <w:style w:type="character" w:styleId="Lienhypertexte">
    <w:name w:val="Hyperlink"/>
    <w:basedOn w:val="Policepardfaut"/>
    <w:uiPriority w:val="99"/>
    <w:unhideWhenUsed/>
    <w:rsid w:val="00FF1CF5"/>
    <w:rPr>
      <w:color w:val="0563C1" w:themeColor="hyperlink"/>
      <w:u w:val="single"/>
    </w:rPr>
  </w:style>
  <w:style w:type="paragraph" w:styleId="NormalWeb">
    <w:name w:val="Normal (Web)"/>
    <w:basedOn w:val="Normal"/>
    <w:uiPriority w:val="99"/>
    <w:unhideWhenUsed/>
    <w:rsid w:val="00645152"/>
    <w:pPr>
      <w:spacing w:before="100" w:beforeAutospacing="1" w:after="100" w:afterAutospacing="1"/>
    </w:pPr>
  </w:style>
  <w:style w:type="table" w:styleId="Grilledutableau">
    <w:name w:val="Table Grid"/>
    <w:basedOn w:val="TableauNormal"/>
    <w:uiPriority w:val="39"/>
    <w:rsid w:val="000C6EF1"/>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extedebulles">
    <w:name w:val="Balloon Text"/>
    <w:basedOn w:val="Normal"/>
    <w:link w:val="TextedebullesCar"/>
    <w:uiPriority w:val="99"/>
    <w:semiHidden/>
    <w:unhideWhenUsed/>
    <w:rsid w:val="00AD45A3"/>
    <w:rPr>
      <w:rFonts w:ascii="Segoe UI" w:eastAsiaTheme="minorHAnsi" w:hAnsi="Segoe UI" w:cs="Segoe UI"/>
      <w:sz w:val="18"/>
      <w:szCs w:val="18"/>
      <w:lang w:eastAsia="en-US"/>
    </w:rPr>
  </w:style>
  <w:style w:type="character" w:customStyle="1" w:styleId="TextedebullesCar">
    <w:name w:val="Texte de bulles Car"/>
    <w:basedOn w:val="Policepardfaut"/>
    <w:link w:val="Textedebulles"/>
    <w:uiPriority w:val="99"/>
    <w:semiHidden/>
    <w:rsid w:val="00AD45A3"/>
    <w:rPr>
      <w:rFonts w:ascii="Segoe UI" w:hAnsi="Segoe UI" w:cs="Segoe UI"/>
      <w:sz w:val="18"/>
      <w:szCs w:val="18"/>
    </w:rPr>
  </w:style>
  <w:style w:type="character" w:styleId="Mentionnonrsolue">
    <w:name w:val="Unresolved Mention"/>
    <w:basedOn w:val="Policepardfaut"/>
    <w:uiPriority w:val="99"/>
    <w:semiHidden/>
    <w:unhideWhenUsed/>
    <w:rsid w:val="00AE4824"/>
    <w:rPr>
      <w:color w:val="605E5C"/>
      <w:shd w:val="clear" w:color="auto" w:fill="E1DFDD"/>
    </w:rPr>
  </w:style>
  <w:style w:type="character" w:styleId="Lienhypertextesuivivisit">
    <w:name w:val="FollowedHyperlink"/>
    <w:basedOn w:val="Policepardfaut"/>
    <w:uiPriority w:val="99"/>
    <w:semiHidden/>
    <w:unhideWhenUsed/>
    <w:rsid w:val="005A77CB"/>
    <w:rPr>
      <w:color w:val="954F72" w:themeColor="followedHyperlink"/>
      <w:u w:val="single"/>
    </w:rPr>
  </w:style>
  <w:style w:type="character" w:customStyle="1" w:styleId="a">
    <w:name w:val="_"/>
    <w:basedOn w:val="Policepardfaut"/>
    <w:rsid w:val="00174677"/>
  </w:style>
  <w:style w:type="character" w:customStyle="1" w:styleId="pg-1ff3">
    <w:name w:val="pg-1ff3"/>
    <w:basedOn w:val="Policepardfaut"/>
    <w:rsid w:val="00174677"/>
  </w:style>
  <w:style w:type="character" w:customStyle="1" w:styleId="pg-1ws0">
    <w:name w:val="pg-1ws0"/>
    <w:basedOn w:val="Policepardfaut"/>
    <w:rsid w:val="00174677"/>
  </w:style>
  <w:style w:type="character" w:customStyle="1" w:styleId="pg-1ls2">
    <w:name w:val="pg-1ls2"/>
    <w:basedOn w:val="Policepardfaut"/>
    <w:rsid w:val="00FB052D"/>
  </w:style>
  <w:style w:type="character" w:customStyle="1" w:styleId="pg-1ff2">
    <w:name w:val="pg-1ff2"/>
    <w:basedOn w:val="Policepardfaut"/>
    <w:rsid w:val="00FB052D"/>
  </w:style>
  <w:style w:type="character" w:customStyle="1" w:styleId="pg-1ff1">
    <w:name w:val="pg-1ff1"/>
    <w:basedOn w:val="Policepardfaut"/>
    <w:rsid w:val="00FB052D"/>
  </w:style>
  <w:style w:type="character" w:customStyle="1" w:styleId="pg-1ls3">
    <w:name w:val="pg-1ls3"/>
    <w:basedOn w:val="Policepardfaut"/>
    <w:rsid w:val="00FB052D"/>
  </w:style>
  <w:style w:type="character" w:customStyle="1" w:styleId="pg-1fc2">
    <w:name w:val="pg-1fc2"/>
    <w:basedOn w:val="Policepardfaut"/>
    <w:rsid w:val="00ED19EB"/>
  </w:style>
  <w:style w:type="paragraph" w:customStyle="1" w:styleId="Default">
    <w:name w:val="Default"/>
    <w:rsid w:val="00FC739C"/>
    <w:pPr>
      <w:autoSpaceDE w:val="0"/>
      <w:autoSpaceDN w:val="0"/>
      <w:adjustRightInd w:val="0"/>
      <w:spacing w:after="0" w:line="240" w:lineRule="auto"/>
    </w:pPr>
    <w:rPr>
      <w:rFonts w:ascii="Times New Roman" w:hAnsi="Times New Roman" w:cs="Times New Roman"/>
      <w:color w:val="000000"/>
      <w:sz w:val="24"/>
      <w:szCs w:val="24"/>
    </w:rPr>
  </w:style>
  <w:style w:type="paragraph" w:styleId="Notedebasdepage">
    <w:name w:val="footnote text"/>
    <w:aliases w:val="Footnote reference,FA Fu,Footnote Text Char Char Char Char Char,Footnote Text Char Char Char Char,Footnote Text Char Char Char,Footnote Text Cha,FA Fußnotentext,FA Fuﬂnotentext,Texto nota pie Car,Footnote Text Char Char,Ca"/>
    <w:basedOn w:val="Normal"/>
    <w:link w:val="NotedebasdepageCar"/>
    <w:uiPriority w:val="99"/>
    <w:qFormat/>
    <w:rsid w:val="00FA0BB0"/>
    <w:rPr>
      <w:rFonts w:asciiTheme="minorHAnsi" w:eastAsiaTheme="minorHAnsi" w:hAnsiTheme="minorHAnsi" w:cstheme="minorBidi"/>
      <w:lang w:eastAsia="en-US"/>
    </w:rPr>
  </w:style>
  <w:style w:type="character" w:customStyle="1" w:styleId="NotedebasdepageCar">
    <w:name w:val="Note de bas de page Car"/>
    <w:aliases w:val="Footnote reference Car,FA Fu Car,Footnote Text Char Char Char Char Char Car,Footnote Text Char Char Char Char Car,Footnote Text Char Char Char Car,Footnote Text Cha Car,FA Fußnotentext Car,FA Fuﬂnotentext Car,Ca Car"/>
    <w:basedOn w:val="Policepardfaut"/>
    <w:link w:val="Notedebasdepage"/>
    <w:uiPriority w:val="99"/>
    <w:rsid w:val="00FA0BB0"/>
    <w:rPr>
      <w:sz w:val="24"/>
      <w:szCs w:val="24"/>
    </w:rPr>
  </w:style>
  <w:style w:type="character" w:styleId="Appelnotedebasdep">
    <w:name w:val="footnote reference"/>
    <w:aliases w:val="Texto de nota al pie,Appel note de bas de page,Footnotes refss,Footnote number,referencia nota al pie,BVI fnr,f,4_G,16 Point,Superscript 6 Point,Texto nota al pie,Footnote Reference Char3,Footnote Reference Char1 Char,Ref,Ref1"/>
    <w:basedOn w:val="Policepardfaut"/>
    <w:uiPriority w:val="99"/>
    <w:qFormat/>
    <w:rsid w:val="00FA0BB0"/>
    <w:rPr>
      <w:vertAlign w:val="superscript"/>
    </w:rPr>
  </w:style>
  <w:style w:type="character" w:styleId="Accentuation">
    <w:name w:val="Emphasis"/>
    <w:basedOn w:val="Policepardfaut"/>
    <w:uiPriority w:val="20"/>
    <w:qFormat/>
    <w:rsid w:val="004824C8"/>
    <w:rPr>
      <w:i/>
      <w:iCs/>
    </w:rPr>
  </w:style>
  <w:style w:type="character" w:customStyle="1" w:styleId="apple-converted-space">
    <w:name w:val="apple-converted-space"/>
    <w:basedOn w:val="Policepardfaut"/>
    <w:rsid w:val="004824C8"/>
  </w:style>
  <w:style w:type="character" w:customStyle="1" w:styleId="Titre1Car">
    <w:name w:val="Titre 1 Car"/>
    <w:basedOn w:val="Policepardfaut"/>
    <w:link w:val="Titre1"/>
    <w:uiPriority w:val="9"/>
    <w:rsid w:val="00F727C9"/>
    <w:rPr>
      <w:rFonts w:ascii="Times New Roman" w:eastAsia="Times New Roman" w:hAnsi="Times New Roman" w:cs="Times New Roman"/>
      <w:b/>
      <w:bCs/>
      <w:kern w:val="36"/>
      <w:sz w:val="48"/>
      <w:szCs w:val="48"/>
      <w:lang w:eastAsia="fr-F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9960973">
      <w:bodyDiv w:val="1"/>
      <w:marLeft w:val="0"/>
      <w:marRight w:val="0"/>
      <w:marTop w:val="0"/>
      <w:marBottom w:val="0"/>
      <w:divBdr>
        <w:top w:val="none" w:sz="0" w:space="0" w:color="auto"/>
        <w:left w:val="none" w:sz="0" w:space="0" w:color="auto"/>
        <w:bottom w:val="none" w:sz="0" w:space="0" w:color="auto"/>
        <w:right w:val="none" w:sz="0" w:space="0" w:color="auto"/>
      </w:divBdr>
    </w:div>
    <w:div w:id="145246922">
      <w:bodyDiv w:val="1"/>
      <w:marLeft w:val="0"/>
      <w:marRight w:val="0"/>
      <w:marTop w:val="0"/>
      <w:marBottom w:val="0"/>
      <w:divBdr>
        <w:top w:val="none" w:sz="0" w:space="0" w:color="auto"/>
        <w:left w:val="none" w:sz="0" w:space="0" w:color="auto"/>
        <w:bottom w:val="none" w:sz="0" w:space="0" w:color="auto"/>
        <w:right w:val="none" w:sz="0" w:space="0" w:color="auto"/>
      </w:divBdr>
      <w:divsChild>
        <w:div w:id="876627647">
          <w:marLeft w:val="0"/>
          <w:marRight w:val="0"/>
          <w:marTop w:val="0"/>
          <w:marBottom w:val="0"/>
          <w:divBdr>
            <w:top w:val="none" w:sz="0" w:space="0" w:color="auto"/>
            <w:left w:val="none" w:sz="0" w:space="0" w:color="auto"/>
            <w:bottom w:val="none" w:sz="0" w:space="0" w:color="auto"/>
            <w:right w:val="none" w:sz="0" w:space="0" w:color="auto"/>
          </w:divBdr>
          <w:divsChild>
            <w:div w:id="1960336554">
              <w:marLeft w:val="0"/>
              <w:marRight w:val="0"/>
              <w:marTop w:val="0"/>
              <w:marBottom w:val="0"/>
              <w:divBdr>
                <w:top w:val="none" w:sz="0" w:space="0" w:color="auto"/>
                <w:left w:val="none" w:sz="0" w:space="0" w:color="auto"/>
                <w:bottom w:val="none" w:sz="0" w:space="0" w:color="auto"/>
                <w:right w:val="none" w:sz="0" w:space="0" w:color="auto"/>
              </w:divBdr>
              <w:divsChild>
                <w:div w:id="81606705">
                  <w:marLeft w:val="0"/>
                  <w:marRight w:val="0"/>
                  <w:marTop w:val="0"/>
                  <w:marBottom w:val="0"/>
                  <w:divBdr>
                    <w:top w:val="none" w:sz="0" w:space="0" w:color="auto"/>
                    <w:left w:val="none" w:sz="0" w:space="0" w:color="auto"/>
                    <w:bottom w:val="none" w:sz="0" w:space="0" w:color="auto"/>
                    <w:right w:val="none" w:sz="0" w:space="0" w:color="auto"/>
                  </w:divBdr>
                </w:div>
                <w:div w:id="1415933329">
                  <w:marLeft w:val="0"/>
                  <w:marRight w:val="0"/>
                  <w:marTop w:val="0"/>
                  <w:marBottom w:val="0"/>
                  <w:divBdr>
                    <w:top w:val="none" w:sz="0" w:space="0" w:color="auto"/>
                    <w:left w:val="none" w:sz="0" w:space="0" w:color="auto"/>
                    <w:bottom w:val="none" w:sz="0" w:space="0" w:color="auto"/>
                    <w:right w:val="none" w:sz="0" w:space="0" w:color="auto"/>
                  </w:divBdr>
                </w:div>
              </w:divsChild>
            </w:div>
            <w:div w:id="1761217641">
              <w:marLeft w:val="0"/>
              <w:marRight w:val="0"/>
              <w:marTop w:val="0"/>
              <w:marBottom w:val="0"/>
              <w:divBdr>
                <w:top w:val="none" w:sz="0" w:space="0" w:color="auto"/>
                <w:left w:val="none" w:sz="0" w:space="0" w:color="auto"/>
                <w:bottom w:val="none" w:sz="0" w:space="0" w:color="auto"/>
                <w:right w:val="none" w:sz="0" w:space="0" w:color="auto"/>
              </w:divBdr>
              <w:divsChild>
                <w:div w:id="1992559633">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527910358">
          <w:marLeft w:val="0"/>
          <w:marRight w:val="0"/>
          <w:marTop w:val="0"/>
          <w:marBottom w:val="0"/>
          <w:divBdr>
            <w:top w:val="none" w:sz="0" w:space="0" w:color="auto"/>
            <w:left w:val="none" w:sz="0" w:space="0" w:color="auto"/>
            <w:bottom w:val="none" w:sz="0" w:space="0" w:color="auto"/>
            <w:right w:val="none" w:sz="0" w:space="0" w:color="auto"/>
          </w:divBdr>
          <w:divsChild>
            <w:div w:id="1477526752">
              <w:marLeft w:val="0"/>
              <w:marRight w:val="0"/>
              <w:marTop w:val="0"/>
              <w:marBottom w:val="0"/>
              <w:divBdr>
                <w:top w:val="none" w:sz="0" w:space="0" w:color="auto"/>
                <w:left w:val="none" w:sz="0" w:space="0" w:color="auto"/>
                <w:bottom w:val="none" w:sz="0" w:space="0" w:color="auto"/>
                <w:right w:val="none" w:sz="0" w:space="0" w:color="auto"/>
              </w:divBdr>
              <w:divsChild>
                <w:div w:id="784274265">
                  <w:marLeft w:val="0"/>
                  <w:marRight w:val="0"/>
                  <w:marTop w:val="0"/>
                  <w:marBottom w:val="0"/>
                  <w:divBdr>
                    <w:top w:val="none" w:sz="0" w:space="0" w:color="auto"/>
                    <w:left w:val="none" w:sz="0" w:space="0" w:color="auto"/>
                    <w:bottom w:val="none" w:sz="0" w:space="0" w:color="auto"/>
                    <w:right w:val="none" w:sz="0" w:space="0" w:color="auto"/>
                  </w:divBdr>
                </w:div>
                <w:div w:id="152124052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21409343">
      <w:bodyDiv w:val="1"/>
      <w:marLeft w:val="0"/>
      <w:marRight w:val="0"/>
      <w:marTop w:val="0"/>
      <w:marBottom w:val="0"/>
      <w:divBdr>
        <w:top w:val="none" w:sz="0" w:space="0" w:color="auto"/>
        <w:left w:val="none" w:sz="0" w:space="0" w:color="auto"/>
        <w:bottom w:val="none" w:sz="0" w:space="0" w:color="auto"/>
        <w:right w:val="none" w:sz="0" w:space="0" w:color="auto"/>
      </w:divBdr>
    </w:div>
    <w:div w:id="376321026">
      <w:bodyDiv w:val="1"/>
      <w:marLeft w:val="0"/>
      <w:marRight w:val="0"/>
      <w:marTop w:val="0"/>
      <w:marBottom w:val="0"/>
      <w:divBdr>
        <w:top w:val="none" w:sz="0" w:space="0" w:color="auto"/>
        <w:left w:val="none" w:sz="0" w:space="0" w:color="auto"/>
        <w:bottom w:val="none" w:sz="0" w:space="0" w:color="auto"/>
        <w:right w:val="none" w:sz="0" w:space="0" w:color="auto"/>
      </w:divBdr>
      <w:divsChild>
        <w:div w:id="57244061">
          <w:marLeft w:val="0"/>
          <w:marRight w:val="0"/>
          <w:marTop w:val="0"/>
          <w:marBottom w:val="0"/>
          <w:divBdr>
            <w:top w:val="none" w:sz="0" w:space="0" w:color="auto"/>
            <w:left w:val="none" w:sz="0" w:space="0" w:color="auto"/>
            <w:bottom w:val="none" w:sz="0" w:space="0" w:color="auto"/>
            <w:right w:val="none" w:sz="0" w:space="0" w:color="auto"/>
          </w:divBdr>
          <w:divsChild>
            <w:div w:id="1408380351">
              <w:marLeft w:val="0"/>
              <w:marRight w:val="0"/>
              <w:marTop w:val="0"/>
              <w:marBottom w:val="0"/>
              <w:divBdr>
                <w:top w:val="none" w:sz="0" w:space="0" w:color="auto"/>
                <w:left w:val="none" w:sz="0" w:space="0" w:color="auto"/>
                <w:bottom w:val="none" w:sz="0" w:space="0" w:color="auto"/>
                <w:right w:val="none" w:sz="0" w:space="0" w:color="auto"/>
              </w:divBdr>
              <w:divsChild>
                <w:div w:id="10069141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00990456">
      <w:bodyDiv w:val="1"/>
      <w:marLeft w:val="0"/>
      <w:marRight w:val="0"/>
      <w:marTop w:val="0"/>
      <w:marBottom w:val="0"/>
      <w:divBdr>
        <w:top w:val="none" w:sz="0" w:space="0" w:color="auto"/>
        <w:left w:val="none" w:sz="0" w:space="0" w:color="auto"/>
        <w:bottom w:val="none" w:sz="0" w:space="0" w:color="auto"/>
        <w:right w:val="none" w:sz="0" w:space="0" w:color="auto"/>
      </w:divBdr>
      <w:divsChild>
        <w:div w:id="4135515">
          <w:marLeft w:val="0"/>
          <w:marRight w:val="0"/>
          <w:marTop w:val="0"/>
          <w:marBottom w:val="0"/>
          <w:divBdr>
            <w:top w:val="none" w:sz="0" w:space="0" w:color="auto"/>
            <w:left w:val="none" w:sz="0" w:space="0" w:color="auto"/>
            <w:bottom w:val="none" w:sz="0" w:space="0" w:color="auto"/>
            <w:right w:val="none" w:sz="0" w:space="0" w:color="auto"/>
          </w:divBdr>
          <w:divsChild>
            <w:div w:id="207838775">
              <w:marLeft w:val="0"/>
              <w:marRight w:val="0"/>
              <w:marTop w:val="0"/>
              <w:marBottom w:val="0"/>
              <w:divBdr>
                <w:top w:val="none" w:sz="0" w:space="0" w:color="auto"/>
                <w:left w:val="none" w:sz="0" w:space="0" w:color="auto"/>
                <w:bottom w:val="none" w:sz="0" w:space="0" w:color="auto"/>
                <w:right w:val="none" w:sz="0" w:space="0" w:color="auto"/>
              </w:divBdr>
              <w:divsChild>
                <w:div w:id="166928334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24849634">
      <w:bodyDiv w:val="1"/>
      <w:marLeft w:val="0"/>
      <w:marRight w:val="0"/>
      <w:marTop w:val="0"/>
      <w:marBottom w:val="0"/>
      <w:divBdr>
        <w:top w:val="none" w:sz="0" w:space="0" w:color="auto"/>
        <w:left w:val="none" w:sz="0" w:space="0" w:color="auto"/>
        <w:bottom w:val="none" w:sz="0" w:space="0" w:color="auto"/>
        <w:right w:val="none" w:sz="0" w:space="0" w:color="auto"/>
      </w:divBdr>
      <w:divsChild>
        <w:div w:id="458228223">
          <w:marLeft w:val="0"/>
          <w:marRight w:val="0"/>
          <w:marTop w:val="0"/>
          <w:marBottom w:val="0"/>
          <w:divBdr>
            <w:top w:val="none" w:sz="0" w:space="0" w:color="auto"/>
            <w:left w:val="none" w:sz="0" w:space="0" w:color="auto"/>
            <w:bottom w:val="none" w:sz="0" w:space="0" w:color="auto"/>
            <w:right w:val="none" w:sz="0" w:space="0" w:color="auto"/>
          </w:divBdr>
          <w:divsChild>
            <w:div w:id="535384978">
              <w:marLeft w:val="0"/>
              <w:marRight w:val="0"/>
              <w:marTop w:val="0"/>
              <w:marBottom w:val="0"/>
              <w:divBdr>
                <w:top w:val="none" w:sz="0" w:space="0" w:color="auto"/>
                <w:left w:val="none" w:sz="0" w:space="0" w:color="auto"/>
                <w:bottom w:val="none" w:sz="0" w:space="0" w:color="auto"/>
                <w:right w:val="none" w:sz="0" w:space="0" w:color="auto"/>
              </w:divBdr>
              <w:divsChild>
                <w:div w:id="1612276941">
                  <w:marLeft w:val="0"/>
                  <w:marRight w:val="0"/>
                  <w:marTop w:val="0"/>
                  <w:marBottom w:val="0"/>
                  <w:divBdr>
                    <w:top w:val="none" w:sz="0" w:space="0" w:color="auto"/>
                    <w:left w:val="none" w:sz="0" w:space="0" w:color="auto"/>
                    <w:bottom w:val="none" w:sz="0" w:space="0" w:color="auto"/>
                    <w:right w:val="none" w:sz="0" w:space="0" w:color="auto"/>
                  </w:divBdr>
                </w:div>
              </w:divsChild>
            </w:div>
            <w:div w:id="708997058">
              <w:marLeft w:val="0"/>
              <w:marRight w:val="0"/>
              <w:marTop w:val="0"/>
              <w:marBottom w:val="0"/>
              <w:divBdr>
                <w:top w:val="none" w:sz="0" w:space="0" w:color="auto"/>
                <w:left w:val="none" w:sz="0" w:space="0" w:color="auto"/>
                <w:bottom w:val="none" w:sz="0" w:space="0" w:color="auto"/>
                <w:right w:val="none" w:sz="0" w:space="0" w:color="auto"/>
              </w:divBdr>
              <w:divsChild>
                <w:div w:id="967391385">
                  <w:marLeft w:val="0"/>
                  <w:marRight w:val="0"/>
                  <w:marTop w:val="0"/>
                  <w:marBottom w:val="0"/>
                  <w:divBdr>
                    <w:top w:val="none" w:sz="0" w:space="0" w:color="auto"/>
                    <w:left w:val="none" w:sz="0" w:space="0" w:color="auto"/>
                    <w:bottom w:val="none" w:sz="0" w:space="0" w:color="auto"/>
                    <w:right w:val="none" w:sz="0" w:space="0" w:color="auto"/>
                  </w:divBdr>
                </w:div>
                <w:div w:id="169214325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711925434">
      <w:bodyDiv w:val="1"/>
      <w:marLeft w:val="0"/>
      <w:marRight w:val="0"/>
      <w:marTop w:val="0"/>
      <w:marBottom w:val="0"/>
      <w:divBdr>
        <w:top w:val="none" w:sz="0" w:space="0" w:color="auto"/>
        <w:left w:val="none" w:sz="0" w:space="0" w:color="auto"/>
        <w:bottom w:val="none" w:sz="0" w:space="0" w:color="auto"/>
        <w:right w:val="none" w:sz="0" w:space="0" w:color="auto"/>
      </w:divBdr>
    </w:div>
    <w:div w:id="745691922">
      <w:bodyDiv w:val="1"/>
      <w:marLeft w:val="0"/>
      <w:marRight w:val="0"/>
      <w:marTop w:val="0"/>
      <w:marBottom w:val="0"/>
      <w:divBdr>
        <w:top w:val="none" w:sz="0" w:space="0" w:color="auto"/>
        <w:left w:val="none" w:sz="0" w:space="0" w:color="auto"/>
        <w:bottom w:val="none" w:sz="0" w:space="0" w:color="auto"/>
        <w:right w:val="none" w:sz="0" w:space="0" w:color="auto"/>
      </w:divBdr>
    </w:div>
    <w:div w:id="812915228">
      <w:bodyDiv w:val="1"/>
      <w:marLeft w:val="0"/>
      <w:marRight w:val="0"/>
      <w:marTop w:val="0"/>
      <w:marBottom w:val="0"/>
      <w:divBdr>
        <w:top w:val="none" w:sz="0" w:space="0" w:color="auto"/>
        <w:left w:val="none" w:sz="0" w:space="0" w:color="auto"/>
        <w:bottom w:val="none" w:sz="0" w:space="0" w:color="auto"/>
        <w:right w:val="none" w:sz="0" w:space="0" w:color="auto"/>
      </w:divBdr>
      <w:divsChild>
        <w:div w:id="1773013671">
          <w:marLeft w:val="0"/>
          <w:marRight w:val="0"/>
          <w:marTop w:val="0"/>
          <w:marBottom w:val="0"/>
          <w:divBdr>
            <w:top w:val="none" w:sz="0" w:space="0" w:color="auto"/>
            <w:left w:val="none" w:sz="0" w:space="0" w:color="auto"/>
            <w:bottom w:val="none" w:sz="0" w:space="0" w:color="auto"/>
            <w:right w:val="none" w:sz="0" w:space="0" w:color="auto"/>
          </w:divBdr>
          <w:divsChild>
            <w:div w:id="236476029">
              <w:marLeft w:val="0"/>
              <w:marRight w:val="0"/>
              <w:marTop w:val="0"/>
              <w:marBottom w:val="0"/>
              <w:divBdr>
                <w:top w:val="none" w:sz="0" w:space="0" w:color="auto"/>
                <w:left w:val="none" w:sz="0" w:space="0" w:color="auto"/>
                <w:bottom w:val="none" w:sz="0" w:space="0" w:color="auto"/>
                <w:right w:val="none" w:sz="0" w:space="0" w:color="auto"/>
              </w:divBdr>
              <w:divsChild>
                <w:div w:id="294064183">
                  <w:marLeft w:val="0"/>
                  <w:marRight w:val="0"/>
                  <w:marTop w:val="0"/>
                  <w:marBottom w:val="0"/>
                  <w:divBdr>
                    <w:top w:val="none" w:sz="0" w:space="0" w:color="auto"/>
                    <w:left w:val="none" w:sz="0" w:space="0" w:color="auto"/>
                    <w:bottom w:val="none" w:sz="0" w:space="0" w:color="auto"/>
                    <w:right w:val="none" w:sz="0" w:space="0" w:color="auto"/>
                  </w:divBdr>
                </w:div>
              </w:divsChild>
            </w:div>
            <w:div w:id="1332219165">
              <w:marLeft w:val="0"/>
              <w:marRight w:val="0"/>
              <w:marTop w:val="0"/>
              <w:marBottom w:val="0"/>
              <w:divBdr>
                <w:top w:val="none" w:sz="0" w:space="0" w:color="auto"/>
                <w:left w:val="none" w:sz="0" w:space="0" w:color="auto"/>
                <w:bottom w:val="none" w:sz="0" w:space="0" w:color="auto"/>
                <w:right w:val="none" w:sz="0" w:space="0" w:color="auto"/>
              </w:divBdr>
              <w:divsChild>
                <w:div w:id="185146473">
                  <w:marLeft w:val="0"/>
                  <w:marRight w:val="0"/>
                  <w:marTop w:val="0"/>
                  <w:marBottom w:val="0"/>
                  <w:divBdr>
                    <w:top w:val="none" w:sz="0" w:space="0" w:color="auto"/>
                    <w:left w:val="none" w:sz="0" w:space="0" w:color="auto"/>
                    <w:bottom w:val="none" w:sz="0" w:space="0" w:color="auto"/>
                    <w:right w:val="none" w:sz="0" w:space="0" w:color="auto"/>
                  </w:divBdr>
                </w:div>
                <w:div w:id="1937784461">
                  <w:marLeft w:val="0"/>
                  <w:marRight w:val="0"/>
                  <w:marTop w:val="0"/>
                  <w:marBottom w:val="0"/>
                  <w:divBdr>
                    <w:top w:val="none" w:sz="0" w:space="0" w:color="auto"/>
                    <w:left w:val="none" w:sz="0" w:space="0" w:color="auto"/>
                    <w:bottom w:val="none" w:sz="0" w:space="0" w:color="auto"/>
                    <w:right w:val="none" w:sz="0" w:space="0" w:color="auto"/>
                  </w:divBdr>
                </w:div>
              </w:divsChild>
            </w:div>
            <w:div w:id="1639651904">
              <w:marLeft w:val="0"/>
              <w:marRight w:val="0"/>
              <w:marTop w:val="0"/>
              <w:marBottom w:val="0"/>
              <w:divBdr>
                <w:top w:val="none" w:sz="0" w:space="0" w:color="auto"/>
                <w:left w:val="none" w:sz="0" w:space="0" w:color="auto"/>
                <w:bottom w:val="none" w:sz="0" w:space="0" w:color="auto"/>
                <w:right w:val="none" w:sz="0" w:space="0" w:color="auto"/>
              </w:divBdr>
              <w:divsChild>
                <w:div w:id="400099431">
                  <w:marLeft w:val="0"/>
                  <w:marRight w:val="0"/>
                  <w:marTop w:val="0"/>
                  <w:marBottom w:val="0"/>
                  <w:divBdr>
                    <w:top w:val="none" w:sz="0" w:space="0" w:color="auto"/>
                    <w:left w:val="none" w:sz="0" w:space="0" w:color="auto"/>
                    <w:bottom w:val="none" w:sz="0" w:space="0" w:color="auto"/>
                    <w:right w:val="none" w:sz="0" w:space="0" w:color="auto"/>
                  </w:divBdr>
                </w:div>
              </w:divsChild>
            </w:div>
            <w:div w:id="890532037">
              <w:marLeft w:val="0"/>
              <w:marRight w:val="0"/>
              <w:marTop w:val="0"/>
              <w:marBottom w:val="0"/>
              <w:divBdr>
                <w:top w:val="none" w:sz="0" w:space="0" w:color="auto"/>
                <w:left w:val="none" w:sz="0" w:space="0" w:color="auto"/>
                <w:bottom w:val="none" w:sz="0" w:space="0" w:color="auto"/>
                <w:right w:val="none" w:sz="0" w:space="0" w:color="auto"/>
              </w:divBdr>
              <w:divsChild>
                <w:div w:id="47476295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783568861">
          <w:marLeft w:val="0"/>
          <w:marRight w:val="0"/>
          <w:marTop w:val="0"/>
          <w:marBottom w:val="0"/>
          <w:divBdr>
            <w:top w:val="none" w:sz="0" w:space="0" w:color="auto"/>
            <w:left w:val="none" w:sz="0" w:space="0" w:color="auto"/>
            <w:bottom w:val="none" w:sz="0" w:space="0" w:color="auto"/>
            <w:right w:val="none" w:sz="0" w:space="0" w:color="auto"/>
          </w:divBdr>
          <w:divsChild>
            <w:div w:id="343172753">
              <w:marLeft w:val="0"/>
              <w:marRight w:val="0"/>
              <w:marTop w:val="0"/>
              <w:marBottom w:val="0"/>
              <w:divBdr>
                <w:top w:val="none" w:sz="0" w:space="0" w:color="auto"/>
                <w:left w:val="none" w:sz="0" w:space="0" w:color="auto"/>
                <w:bottom w:val="none" w:sz="0" w:space="0" w:color="auto"/>
                <w:right w:val="none" w:sz="0" w:space="0" w:color="auto"/>
              </w:divBdr>
              <w:divsChild>
                <w:div w:id="740445821">
                  <w:marLeft w:val="0"/>
                  <w:marRight w:val="0"/>
                  <w:marTop w:val="0"/>
                  <w:marBottom w:val="0"/>
                  <w:divBdr>
                    <w:top w:val="none" w:sz="0" w:space="0" w:color="auto"/>
                    <w:left w:val="none" w:sz="0" w:space="0" w:color="auto"/>
                    <w:bottom w:val="none" w:sz="0" w:space="0" w:color="auto"/>
                    <w:right w:val="none" w:sz="0" w:space="0" w:color="auto"/>
                  </w:divBdr>
                </w:div>
                <w:div w:id="84174903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20000725">
      <w:bodyDiv w:val="1"/>
      <w:marLeft w:val="0"/>
      <w:marRight w:val="0"/>
      <w:marTop w:val="0"/>
      <w:marBottom w:val="0"/>
      <w:divBdr>
        <w:top w:val="none" w:sz="0" w:space="0" w:color="auto"/>
        <w:left w:val="none" w:sz="0" w:space="0" w:color="auto"/>
        <w:bottom w:val="none" w:sz="0" w:space="0" w:color="auto"/>
        <w:right w:val="none" w:sz="0" w:space="0" w:color="auto"/>
      </w:divBdr>
      <w:divsChild>
        <w:div w:id="1678727105">
          <w:marLeft w:val="0"/>
          <w:marRight w:val="0"/>
          <w:marTop w:val="0"/>
          <w:marBottom w:val="0"/>
          <w:divBdr>
            <w:top w:val="none" w:sz="0" w:space="0" w:color="auto"/>
            <w:left w:val="none" w:sz="0" w:space="0" w:color="auto"/>
            <w:bottom w:val="none" w:sz="0" w:space="0" w:color="auto"/>
            <w:right w:val="none" w:sz="0" w:space="0" w:color="auto"/>
          </w:divBdr>
          <w:divsChild>
            <w:div w:id="1223981324">
              <w:marLeft w:val="0"/>
              <w:marRight w:val="0"/>
              <w:marTop w:val="0"/>
              <w:marBottom w:val="0"/>
              <w:divBdr>
                <w:top w:val="none" w:sz="0" w:space="0" w:color="auto"/>
                <w:left w:val="none" w:sz="0" w:space="0" w:color="auto"/>
                <w:bottom w:val="none" w:sz="0" w:space="0" w:color="auto"/>
                <w:right w:val="none" w:sz="0" w:space="0" w:color="auto"/>
              </w:divBdr>
              <w:divsChild>
                <w:div w:id="342711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84289791">
      <w:bodyDiv w:val="1"/>
      <w:marLeft w:val="0"/>
      <w:marRight w:val="0"/>
      <w:marTop w:val="0"/>
      <w:marBottom w:val="0"/>
      <w:divBdr>
        <w:top w:val="none" w:sz="0" w:space="0" w:color="auto"/>
        <w:left w:val="none" w:sz="0" w:space="0" w:color="auto"/>
        <w:bottom w:val="none" w:sz="0" w:space="0" w:color="auto"/>
        <w:right w:val="none" w:sz="0" w:space="0" w:color="auto"/>
      </w:divBdr>
    </w:div>
    <w:div w:id="919370853">
      <w:bodyDiv w:val="1"/>
      <w:marLeft w:val="0"/>
      <w:marRight w:val="0"/>
      <w:marTop w:val="0"/>
      <w:marBottom w:val="0"/>
      <w:divBdr>
        <w:top w:val="none" w:sz="0" w:space="0" w:color="auto"/>
        <w:left w:val="none" w:sz="0" w:space="0" w:color="auto"/>
        <w:bottom w:val="none" w:sz="0" w:space="0" w:color="auto"/>
        <w:right w:val="none" w:sz="0" w:space="0" w:color="auto"/>
      </w:divBdr>
    </w:div>
    <w:div w:id="946814364">
      <w:bodyDiv w:val="1"/>
      <w:marLeft w:val="0"/>
      <w:marRight w:val="0"/>
      <w:marTop w:val="0"/>
      <w:marBottom w:val="0"/>
      <w:divBdr>
        <w:top w:val="none" w:sz="0" w:space="0" w:color="auto"/>
        <w:left w:val="none" w:sz="0" w:space="0" w:color="auto"/>
        <w:bottom w:val="none" w:sz="0" w:space="0" w:color="auto"/>
        <w:right w:val="none" w:sz="0" w:space="0" w:color="auto"/>
      </w:divBdr>
      <w:divsChild>
        <w:div w:id="1153327372">
          <w:marLeft w:val="0"/>
          <w:marRight w:val="0"/>
          <w:marTop w:val="0"/>
          <w:marBottom w:val="0"/>
          <w:divBdr>
            <w:top w:val="none" w:sz="0" w:space="0" w:color="auto"/>
            <w:left w:val="none" w:sz="0" w:space="0" w:color="auto"/>
            <w:bottom w:val="none" w:sz="0" w:space="0" w:color="auto"/>
            <w:right w:val="none" w:sz="0" w:space="0" w:color="auto"/>
          </w:divBdr>
          <w:divsChild>
            <w:div w:id="2029981742">
              <w:marLeft w:val="0"/>
              <w:marRight w:val="0"/>
              <w:marTop w:val="0"/>
              <w:marBottom w:val="0"/>
              <w:divBdr>
                <w:top w:val="none" w:sz="0" w:space="0" w:color="auto"/>
                <w:left w:val="none" w:sz="0" w:space="0" w:color="auto"/>
                <w:bottom w:val="none" w:sz="0" w:space="0" w:color="auto"/>
                <w:right w:val="none" w:sz="0" w:space="0" w:color="auto"/>
              </w:divBdr>
              <w:divsChild>
                <w:div w:id="107377041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030908951">
      <w:bodyDiv w:val="1"/>
      <w:marLeft w:val="0"/>
      <w:marRight w:val="0"/>
      <w:marTop w:val="0"/>
      <w:marBottom w:val="0"/>
      <w:divBdr>
        <w:top w:val="none" w:sz="0" w:space="0" w:color="auto"/>
        <w:left w:val="none" w:sz="0" w:space="0" w:color="auto"/>
        <w:bottom w:val="none" w:sz="0" w:space="0" w:color="auto"/>
        <w:right w:val="none" w:sz="0" w:space="0" w:color="auto"/>
      </w:divBdr>
    </w:div>
    <w:div w:id="1066607583">
      <w:bodyDiv w:val="1"/>
      <w:marLeft w:val="0"/>
      <w:marRight w:val="0"/>
      <w:marTop w:val="0"/>
      <w:marBottom w:val="0"/>
      <w:divBdr>
        <w:top w:val="none" w:sz="0" w:space="0" w:color="auto"/>
        <w:left w:val="none" w:sz="0" w:space="0" w:color="auto"/>
        <w:bottom w:val="none" w:sz="0" w:space="0" w:color="auto"/>
        <w:right w:val="none" w:sz="0" w:space="0" w:color="auto"/>
      </w:divBdr>
    </w:div>
    <w:div w:id="1081828068">
      <w:bodyDiv w:val="1"/>
      <w:marLeft w:val="0"/>
      <w:marRight w:val="0"/>
      <w:marTop w:val="0"/>
      <w:marBottom w:val="0"/>
      <w:divBdr>
        <w:top w:val="none" w:sz="0" w:space="0" w:color="auto"/>
        <w:left w:val="none" w:sz="0" w:space="0" w:color="auto"/>
        <w:bottom w:val="none" w:sz="0" w:space="0" w:color="auto"/>
        <w:right w:val="none" w:sz="0" w:space="0" w:color="auto"/>
      </w:divBdr>
      <w:divsChild>
        <w:div w:id="958530895">
          <w:marLeft w:val="0"/>
          <w:marRight w:val="0"/>
          <w:marTop w:val="0"/>
          <w:marBottom w:val="0"/>
          <w:divBdr>
            <w:top w:val="none" w:sz="0" w:space="0" w:color="auto"/>
            <w:left w:val="none" w:sz="0" w:space="0" w:color="auto"/>
            <w:bottom w:val="none" w:sz="0" w:space="0" w:color="auto"/>
            <w:right w:val="none" w:sz="0" w:space="0" w:color="auto"/>
          </w:divBdr>
          <w:divsChild>
            <w:div w:id="1711800415">
              <w:marLeft w:val="0"/>
              <w:marRight w:val="0"/>
              <w:marTop w:val="0"/>
              <w:marBottom w:val="0"/>
              <w:divBdr>
                <w:top w:val="none" w:sz="0" w:space="0" w:color="auto"/>
                <w:left w:val="none" w:sz="0" w:space="0" w:color="auto"/>
                <w:bottom w:val="none" w:sz="0" w:space="0" w:color="auto"/>
                <w:right w:val="none" w:sz="0" w:space="0" w:color="auto"/>
              </w:divBdr>
              <w:divsChild>
                <w:div w:id="30620829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74606201">
      <w:bodyDiv w:val="1"/>
      <w:marLeft w:val="0"/>
      <w:marRight w:val="0"/>
      <w:marTop w:val="0"/>
      <w:marBottom w:val="0"/>
      <w:divBdr>
        <w:top w:val="none" w:sz="0" w:space="0" w:color="auto"/>
        <w:left w:val="none" w:sz="0" w:space="0" w:color="auto"/>
        <w:bottom w:val="none" w:sz="0" w:space="0" w:color="auto"/>
        <w:right w:val="none" w:sz="0" w:space="0" w:color="auto"/>
      </w:divBdr>
      <w:divsChild>
        <w:div w:id="1368674682">
          <w:marLeft w:val="0"/>
          <w:marRight w:val="0"/>
          <w:marTop w:val="0"/>
          <w:marBottom w:val="0"/>
          <w:divBdr>
            <w:top w:val="none" w:sz="0" w:space="0" w:color="auto"/>
            <w:left w:val="none" w:sz="0" w:space="0" w:color="auto"/>
            <w:bottom w:val="none" w:sz="0" w:space="0" w:color="auto"/>
            <w:right w:val="none" w:sz="0" w:space="0" w:color="auto"/>
          </w:divBdr>
          <w:divsChild>
            <w:div w:id="2011985856">
              <w:marLeft w:val="0"/>
              <w:marRight w:val="0"/>
              <w:marTop w:val="0"/>
              <w:marBottom w:val="0"/>
              <w:divBdr>
                <w:top w:val="none" w:sz="0" w:space="0" w:color="auto"/>
                <w:left w:val="none" w:sz="0" w:space="0" w:color="auto"/>
                <w:bottom w:val="none" w:sz="0" w:space="0" w:color="auto"/>
                <w:right w:val="none" w:sz="0" w:space="0" w:color="auto"/>
              </w:divBdr>
              <w:divsChild>
                <w:div w:id="844436204">
                  <w:marLeft w:val="0"/>
                  <w:marRight w:val="0"/>
                  <w:marTop w:val="0"/>
                  <w:marBottom w:val="0"/>
                  <w:divBdr>
                    <w:top w:val="none" w:sz="0" w:space="0" w:color="auto"/>
                    <w:left w:val="none" w:sz="0" w:space="0" w:color="auto"/>
                    <w:bottom w:val="none" w:sz="0" w:space="0" w:color="auto"/>
                    <w:right w:val="none" w:sz="0" w:space="0" w:color="auto"/>
                  </w:divBdr>
                </w:div>
              </w:divsChild>
            </w:div>
            <w:div w:id="1150752556">
              <w:marLeft w:val="0"/>
              <w:marRight w:val="0"/>
              <w:marTop w:val="0"/>
              <w:marBottom w:val="0"/>
              <w:divBdr>
                <w:top w:val="none" w:sz="0" w:space="0" w:color="auto"/>
                <w:left w:val="none" w:sz="0" w:space="0" w:color="auto"/>
                <w:bottom w:val="none" w:sz="0" w:space="0" w:color="auto"/>
                <w:right w:val="none" w:sz="0" w:space="0" w:color="auto"/>
              </w:divBdr>
              <w:divsChild>
                <w:div w:id="1060400264">
                  <w:marLeft w:val="0"/>
                  <w:marRight w:val="0"/>
                  <w:marTop w:val="0"/>
                  <w:marBottom w:val="0"/>
                  <w:divBdr>
                    <w:top w:val="none" w:sz="0" w:space="0" w:color="auto"/>
                    <w:left w:val="none" w:sz="0" w:space="0" w:color="auto"/>
                    <w:bottom w:val="none" w:sz="0" w:space="0" w:color="auto"/>
                    <w:right w:val="none" w:sz="0" w:space="0" w:color="auto"/>
                  </w:divBdr>
                </w:div>
              </w:divsChild>
            </w:div>
            <w:div w:id="1957059383">
              <w:marLeft w:val="0"/>
              <w:marRight w:val="0"/>
              <w:marTop w:val="0"/>
              <w:marBottom w:val="0"/>
              <w:divBdr>
                <w:top w:val="none" w:sz="0" w:space="0" w:color="auto"/>
                <w:left w:val="none" w:sz="0" w:space="0" w:color="auto"/>
                <w:bottom w:val="none" w:sz="0" w:space="0" w:color="auto"/>
                <w:right w:val="none" w:sz="0" w:space="0" w:color="auto"/>
              </w:divBdr>
              <w:divsChild>
                <w:div w:id="255021925">
                  <w:marLeft w:val="0"/>
                  <w:marRight w:val="0"/>
                  <w:marTop w:val="0"/>
                  <w:marBottom w:val="0"/>
                  <w:divBdr>
                    <w:top w:val="none" w:sz="0" w:space="0" w:color="auto"/>
                    <w:left w:val="none" w:sz="0" w:space="0" w:color="auto"/>
                    <w:bottom w:val="none" w:sz="0" w:space="0" w:color="auto"/>
                    <w:right w:val="none" w:sz="0" w:space="0" w:color="auto"/>
                  </w:divBdr>
                </w:div>
              </w:divsChild>
            </w:div>
            <w:div w:id="1775512670">
              <w:marLeft w:val="0"/>
              <w:marRight w:val="0"/>
              <w:marTop w:val="0"/>
              <w:marBottom w:val="0"/>
              <w:divBdr>
                <w:top w:val="none" w:sz="0" w:space="0" w:color="auto"/>
                <w:left w:val="none" w:sz="0" w:space="0" w:color="auto"/>
                <w:bottom w:val="none" w:sz="0" w:space="0" w:color="auto"/>
                <w:right w:val="none" w:sz="0" w:space="0" w:color="auto"/>
              </w:divBdr>
              <w:divsChild>
                <w:div w:id="1772235008">
                  <w:marLeft w:val="0"/>
                  <w:marRight w:val="0"/>
                  <w:marTop w:val="0"/>
                  <w:marBottom w:val="0"/>
                  <w:divBdr>
                    <w:top w:val="none" w:sz="0" w:space="0" w:color="auto"/>
                    <w:left w:val="none" w:sz="0" w:space="0" w:color="auto"/>
                    <w:bottom w:val="none" w:sz="0" w:space="0" w:color="auto"/>
                    <w:right w:val="none" w:sz="0" w:space="0" w:color="auto"/>
                  </w:divBdr>
                </w:div>
              </w:divsChild>
            </w:div>
            <w:div w:id="518541587">
              <w:marLeft w:val="0"/>
              <w:marRight w:val="0"/>
              <w:marTop w:val="0"/>
              <w:marBottom w:val="0"/>
              <w:divBdr>
                <w:top w:val="none" w:sz="0" w:space="0" w:color="auto"/>
                <w:left w:val="none" w:sz="0" w:space="0" w:color="auto"/>
                <w:bottom w:val="none" w:sz="0" w:space="0" w:color="auto"/>
                <w:right w:val="none" w:sz="0" w:space="0" w:color="auto"/>
              </w:divBdr>
              <w:divsChild>
                <w:div w:id="618032116">
                  <w:marLeft w:val="0"/>
                  <w:marRight w:val="0"/>
                  <w:marTop w:val="0"/>
                  <w:marBottom w:val="0"/>
                  <w:divBdr>
                    <w:top w:val="none" w:sz="0" w:space="0" w:color="auto"/>
                    <w:left w:val="none" w:sz="0" w:space="0" w:color="auto"/>
                    <w:bottom w:val="none" w:sz="0" w:space="0" w:color="auto"/>
                    <w:right w:val="none" w:sz="0" w:space="0" w:color="auto"/>
                  </w:divBdr>
                </w:div>
              </w:divsChild>
            </w:div>
            <w:div w:id="404762883">
              <w:marLeft w:val="0"/>
              <w:marRight w:val="0"/>
              <w:marTop w:val="0"/>
              <w:marBottom w:val="0"/>
              <w:divBdr>
                <w:top w:val="none" w:sz="0" w:space="0" w:color="auto"/>
                <w:left w:val="none" w:sz="0" w:space="0" w:color="auto"/>
                <w:bottom w:val="none" w:sz="0" w:space="0" w:color="auto"/>
                <w:right w:val="none" w:sz="0" w:space="0" w:color="auto"/>
              </w:divBdr>
              <w:divsChild>
                <w:div w:id="182546814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88446532">
      <w:bodyDiv w:val="1"/>
      <w:marLeft w:val="0"/>
      <w:marRight w:val="0"/>
      <w:marTop w:val="0"/>
      <w:marBottom w:val="0"/>
      <w:divBdr>
        <w:top w:val="none" w:sz="0" w:space="0" w:color="auto"/>
        <w:left w:val="none" w:sz="0" w:space="0" w:color="auto"/>
        <w:bottom w:val="none" w:sz="0" w:space="0" w:color="auto"/>
        <w:right w:val="none" w:sz="0" w:space="0" w:color="auto"/>
      </w:divBdr>
      <w:divsChild>
        <w:div w:id="1782261978">
          <w:marLeft w:val="0"/>
          <w:marRight w:val="0"/>
          <w:marTop w:val="0"/>
          <w:marBottom w:val="0"/>
          <w:divBdr>
            <w:top w:val="none" w:sz="0" w:space="0" w:color="auto"/>
            <w:left w:val="none" w:sz="0" w:space="0" w:color="auto"/>
            <w:bottom w:val="none" w:sz="0" w:space="0" w:color="auto"/>
            <w:right w:val="none" w:sz="0" w:space="0" w:color="auto"/>
          </w:divBdr>
          <w:divsChild>
            <w:div w:id="777330943">
              <w:marLeft w:val="0"/>
              <w:marRight w:val="0"/>
              <w:marTop w:val="0"/>
              <w:marBottom w:val="0"/>
              <w:divBdr>
                <w:top w:val="none" w:sz="0" w:space="0" w:color="auto"/>
                <w:left w:val="none" w:sz="0" w:space="0" w:color="auto"/>
                <w:bottom w:val="none" w:sz="0" w:space="0" w:color="auto"/>
                <w:right w:val="none" w:sz="0" w:space="0" w:color="auto"/>
              </w:divBdr>
              <w:divsChild>
                <w:div w:id="86864280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267733087">
      <w:bodyDiv w:val="1"/>
      <w:marLeft w:val="0"/>
      <w:marRight w:val="0"/>
      <w:marTop w:val="0"/>
      <w:marBottom w:val="0"/>
      <w:divBdr>
        <w:top w:val="none" w:sz="0" w:space="0" w:color="auto"/>
        <w:left w:val="none" w:sz="0" w:space="0" w:color="auto"/>
        <w:bottom w:val="none" w:sz="0" w:space="0" w:color="auto"/>
        <w:right w:val="none" w:sz="0" w:space="0" w:color="auto"/>
      </w:divBdr>
      <w:divsChild>
        <w:div w:id="1898083258">
          <w:marLeft w:val="0"/>
          <w:marRight w:val="0"/>
          <w:marTop w:val="0"/>
          <w:marBottom w:val="0"/>
          <w:divBdr>
            <w:top w:val="none" w:sz="0" w:space="0" w:color="auto"/>
            <w:left w:val="none" w:sz="0" w:space="0" w:color="auto"/>
            <w:bottom w:val="none" w:sz="0" w:space="0" w:color="auto"/>
            <w:right w:val="none" w:sz="0" w:space="0" w:color="auto"/>
          </w:divBdr>
          <w:divsChild>
            <w:div w:id="2027706841">
              <w:marLeft w:val="0"/>
              <w:marRight w:val="0"/>
              <w:marTop w:val="0"/>
              <w:marBottom w:val="0"/>
              <w:divBdr>
                <w:top w:val="none" w:sz="0" w:space="0" w:color="auto"/>
                <w:left w:val="none" w:sz="0" w:space="0" w:color="auto"/>
                <w:bottom w:val="none" w:sz="0" w:space="0" w:color="auto"/>
                <w:right w:val="none" w:sz="0" w:space="0" w:color="auto"/>
              </w:divBdr>
              <w:divsChild>
                <w:div w:id="107782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424378274">
      <w:bodyDiv w:val="1"/>
      <w:marLeft w:val="0"/>
      <w:marRight w:val="0"/>
      <w:marTop w:val="0"/>
      <w:marBottom w:val="0"/>
      <w:divBdr>
        <w:top w:val="none" w:sz="0" w:space="0" w:color="auto"/>
        <w:left w:val="none" w:sz="0" w:space="0" w:color="auto"/>
        <w:bottom w:val="none" w:sz="0" w:space="0" w:color="auto"/>
        <w:right w:val="none" w:sz="0" w:space="0" w:color="auto"/>
      </w:divBdr>
    </w:div>
    <w:div w:id="1428042088">
      <w:bodyDiv w:val="1"/>
      <w:marLeft w:val="0"/>
      <w:marRight w:val="0"/>
      <w:marTop w:val="0"/>
      <w:marBottom w:val="0"/>
      <w:divBdr>
        <w:top w:val="none" w:sz="0" w:space="0" w:color="auto"/>
        <w:left w:val="none" w:sz="0" w:space="0" w:color="auto"/>
        <w:bottom w:val="none" w:sz="0" w:space="0" w:color="auto"/>
        <w:right w:val="none" w:sz="0" w:space="0" w:color="auto"/>
      </w:divBdr>
      <w:divsChild>
        <w:div w:id="1761874560">
          <w:marLeft w:val="0"/>
          <w:marRight w:val="0"/>
          <w:marTop w:val="0"/>
          <w:marBottom w:val="0"/>
          <w:divBdr>
            <w:top w:val="none" w:sz="0" w:space="0" w:color="auto"/>
            <w:left w:val="none" w:sz="0" w:space="0" w:color="auto"/>
            <w:bottom w:val="none" w:sz="0" w:space="0" w:color="auto"/>
            <w:right w:val="none" w:sz="0" w:space="0" w:color="auto"/>
          </w:divBdr>
          <w:divsChild>
            <w:div w:id="715203773">
              <w:marLeft w:val="0"/>
              <w:marRight w:val="0"/>
              <w:marTop w:val="0"/>
              <w:marBottom w:val="0"/>
              <w:divBdr>
                <w:top w:val="none" w:sz="0" w:space="0" w:color="auto"/>
                <w:left w:val="none" w:sz="0" w:space="0" w:color="auto"/>
                <w:bottom w:val="none" w:sz="0" w:space="0" w:color="auto"/>
                <w:right w:val="none" w:sz="0" w:space="0" w:color="auto"/>
              </w:divBdr>
              <w:divsChild>
                <w:div w:id="27440445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17229529">
      <w:bodyDiv w:val="1"/>
      <w:marLeft w:val="0"/>
      <w:marRight w:val="0"/>
      <w:marTop w:val="0"/>
      <w:marBottom w:val="0"/>
      <w:divBdr>
        <w:top w:val="none" w:sz="0" w:space="0" w:color="auto"/>
        <w:left w:val="none" w:sz="0" w:space="0" w:color="auto"/>
        <w:bottom w:val="none" w:sz="0" w:space="0" w:color="auto"/>
        <w:right w:val="none" w:sz="0" w:space="0" w:color="auto"/>
      </w:divBdr>
    </w:div>
    <w:div w:id="1524703884">
      <w:bodyDiv w:val="1"/>
      <w:marLeft w:val="0"/>
      <w:marRight w:val="0"/>
      <w:marTop w:val="0"/>
      <w:marBottom w:val="0"/>
      <w:divBdr>
        <w:top w:val="none" w:sz="0" w:space="0" w:color="auto"/>
        <w:left w:val="none" w:sz="0" w:space="0" w:color="auto"/>
        <w:bottom w:val="none" w:sz="0" w:space="0" w:color="auto"/>
        <w:right w:val="none" w:sz="0" w:space="0" w:color="auto"/>
      </w:divBdr>
    </w:div>
    <w:div w:id="1557818826">
      <w:bodyDiv w:val="1"/>
      <w:marLeft w:val="0"/>
      <w:marRight w:val="0"/>
      <w:marTop w:val="0"/>
      <w:marBottom w:val="0"/>
      <w:divBdr>
        <w:top w:val="none" w:sz="0" w:space="0" w:color="auto"/>
        <w:left w:val="none" w:sz="0" w:space="0" w:color="auto"/>
        <w:bottom w:val="none" w:sz="0" w:space="0" w:color="auto"/>
        <w:right w:val="none" w:sz="0" w:space="0" w:color="auto"/>
      </w:divBdr>
      <w:divsChild>
        <w:div w:id="1350596683">
          <w:marLeft w:val="0"/>
          <w:marRight w:val="0"/>
          <w:marTop w:val="0"/>
          <w:marBottom w:val="0"/>
          <w:divBdr>
            <w:top w:val="none" w:sz="0" w:space="0" w:color="auto"/>
            <w:left w:val="none" w:sz="0" w:space="0" w:color="auto"/>
            <w:bottom w:val="none" w:sz="0" w:space="0" w:color="auto"/>
            <w:right w:val="none" w:sz="0" w:space="0" w:color="auto"/>
          </w:divBdr>
          <w:divsChild>
            <w:div w:id="2009549975">
              <w:marLeft w:val="0"/>
              <w:marRight w:val="0"/>
              <w:marTop w:val="0"/>
              <w:marBottom w:val="0"/>
              <w:divBdr>
                <w:top w:val="none" w:sz="0" w:space="0" w:color="auto"/>
                <w:left w:val="none" w:sz="0" w:space="0" w:color="auto"/>
                <w:bottom w:val="none" w:sz="0" w:space="0" w:color="auto"/>
                <w:right w:val="none" w:sz="0" w:space="0" w:color="auto"/>
              </w:divBdr>
              <w:divsChild>
                <w:div w:id="1672947928">
                  <w:marLeft w:val="0"/>
                  <w:marRight w:val="0"/>
                  <w:marTop w:val="0"/>
                  <w:marBottom w:val="0"/>
                  <w:divBdr>
                    <w:top w:val="none" w:sz="0" w:space="0" w:color="auto"/>
                    <w:left w:val="none" w:sz="0" w:space="0" w:color="auto"/>
                    <w:bottom w:val="none" w:sz="0" w:space="0" w:color="auto"/>
                    <w:right w:val="none" w:sz="0" w:space="0" w:color="auto"/>
                  </w:divBdr>
                </w:div>
              </w:divsChild>
            </w:div>
            <w:div w:id="743722575">
              <w:marLeft w:val="0"/>
              <w:marRight w:val="0"/>
              <w:marTop w:val="0"/>
              <w:marBottom w:val="0"/>
              <w:divBdr>
                <w:top w:val="none" w:sz="0" w:space="0" w:color="auto"/>
                <w:left w:val="none" w:sz="0" w:space="0" w:color="auto"/>
                <w:bottom w:val="none" w:sz="0" w:space="0" w:color="auto"/>
                <w:right w:val="none" w:sz="0" w:space="0" w:color="auto"/>
              </w:divBdr>
              <w:divsChild>
                <w:div w:id="1226649097">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471799872">
          <w:marLeft w:val="0"/>
          <w:marRight w:val="0"/>
          <w:marTop w:val="0"/>
          <w:marBottom w:val="0"/>
          <w:divBdr>
            <w:top w:val="none" w:sz="0" w:space="0" w:color="auto"/>
            <w:left w:val="none" w:sz="0" w:space="0" w:color="auto"/>
            <w:bottom w:val="none" w:sz="0" w:space="0" w:color="auto"/>
            <w:right w:val="none" w:sz="0" w:space="0" w:color="auto"/>
          </w:divBdr>
          <w:divsChild>
            <w:div w:id="303512967">
              <w:marLeft w:val="0"/>
              <w:marRight w:val="0"/>
              <w:marTop w:val="0"/>
              <w:marBottom w:val="0"/>
              <w:divBdr>
                <w:top w:val="none" w:sz="0" w:space="0" w:color="auto"/>
                <w:left w:val="none" w:sz="0" w:space="0" w:color="auto"/>
                <w:bottom w:val="none" w:sz="0" w:space="0" w:color="auto"/>
                <w:right w:val="none" w:sz="0" w:space="0" w:color="auto"/>
              </w:divBdr>
              <w:divsChild>
                <w:div w:id="1884099709">
                  <w:marLeft w:val="0"/>
                  <w:marRight w:val="0"/>
                  <w:marTop w:val="0"/>
                  <w:marBottom w:val="0"/>
                  <w:divBdr>
                    <w:top w:val="none" w:sz="0" w:space="0" w:color="auto"/>
                    <w:left w:val="none" w:sz="0" w:space="0" w:color="auto"/>
                    <w:bottom w:val="none" w:sz="0" w:space="0" w:color="auto"/>
                    <w:right w:val="none" w:sz="0" w:space="0" w:color="auto"/>
                  </w:divBdr>
                </w:div>
              </w:divsChild>
            </w:div>
            <w:div w:id="173108953">
              <w:marLeft w:val="0"/>
              <w:marRight w:val="0"/>
              <w:marTop w:val="0"/>
              <w:marBottom w:val="0"/>
              <w:divBdr>
                <w:top w:val="none" w:sz="0" w:space="0" w:color="auto"/>
                <w:left w:val="none" w:sz="0" w:space="0" w:color="auto"/>
                <w:bottom w:val="none" w:sz="0" w:space="0" w:color="auto"/>
                <w:right w:val="none" w:sz="0" w:space="0" w:color="auto"/>
              </w:divBdr>
              <w:divsChild>
                <w:div w:id="2781006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908298652">
          <w:marLeft w:val="0"/>
          <w:marRight w:val="0"/>
          <w:marTop w:val="0"/>
          <w:marBottom w:val="0"/>
          <w:divBdr>
            <w:top w:val="none" w:sz="0" w:space="0" w:color="auto"/>
            <w:left w:val="none" w:sz="0" w:space="0" w:color="auto"/>
            <w:bottom w:val="none" w:sz="0" w:space="0" w:color="auto"/>
            <w:right w:val="none" w:sz="0" w:space="0" w:color="auto"/>
          </w:divBdr>
          <w:divsChild>
            <w:div w:id="273556041">
              <w:marLeft w:val="0"/>
              <w:marRight w:val="0"/>
              <w:marTop w:val="0"/>
              <w:marBottom w:val="0"/>
              <w:divBdr>
                <w:top w:val="none" w:sz="0" w:space="0" w:color="auto"/>
                <w:left w:val="none" w:sz="0" w:space="0" w:color="auto"/>
                <w:bottom w:val="none" w:sz="0" w:space="0" w:color="auto"/>
                <w:right w:val="none" w:sz="0" w:space="0" w:color="auto"/>
              </w:divBdr>
              <w:divsChild>
                <w:div w:id="1523780332">
                  <w:marLeft w:val="0"/>
                  <w:marRight w:val="0"/>
                  <w:marTop w:val="0"/>
                  <w:marBottom w:val="0"/>
                  <w:divBdr>
                    <w:top w:val="none" w:sz="0" w:space="0" w:color="auto"/>
                    <w:left w:val="none" w:sz="0" w:space="0" w:color="auto"/>
                    <w:bottom w:val="none" w:sz="0" w:space="0" w:color="auto"/>
                    <w:right w:val="none" w:sz="0" w:space="0" w:color="auto"/>
                  </w:divBdr>
                </w:div>
              </w:divsChild>
            </w:div>
            <w:div w:id="1547908712">
              <w:marLeft w:val="0"/>
              <w:marRight w:val="0"/>
              <w:marTop w:val="0"/>
              <w:marBottom w:val="0"/>
              <w:divBdr>
                <w:top w:val="none" w:sz="0" w:space="0" w:color="auto"/>
                <w:left w:val="none" w:sz="0" w:space="0" w:color="auto"/>
                <w:bottom w:val="none" w:sz="0" w:space="0" w:color="auto"/>
                <w:right w:val="none" w:sz="0" w:space="0" w:color="auto"/>
              </w:divBdr>
              <w:divsChild>
                <w:div w:id="1718777520">
                  <w:marLeft w:val="0"/>
                  <w:marRight w:val="0"/>
                  <w:marTop w:val="0"/>
                  <w:marBottom w:val="0"/>
                  <w:divBdr>
                    <w:top w:val="none" w:sz="0" w:space="0" w:color="auto"/>
                    <w:left w:val="none" w:sz="0" w:space="0" w:color="auto"/>
                    <w:bottom w:val="none" w:sz="0" w:space="0" w:color="auto"/>
                    <w:right w:val="none" w:sz="0" w:space="0" w:color="auto"/>
                  </w:divBdr>
                </w:div>
              </w:divsChild>
            </w:div>
            <w:div w:id="1264417961">
              <w:marLeft w:val="0"/>
              <w:marRight w:val="0"/>
              <w:marTop w:val="0"/>
              <w:marBottom w:val="0"/>
              <w:divBdr>
                <w:top w:val="none" w:sz="0" w:space="0" w:color="auto"/>
                <w:left w:val="none" w:sz="0" w:space="0" w:color="auto"/>
                <w:bottom w:val="none" w:sz="0" w:space="0" w:color="auto"/>
                <w:right w:val="none" w:sz="0" w:space="0" w:color="auto"/>
              </w:divBdr>
              <w:divsChild>
                <w:div w:id="1282952453">
                  <w:marLeft w:val="0"/>
                  <w:marRight w:val="0"/>
                  <w:marTop w:val="0"/>
                  <w:marBottom w:val="0"/>
                  <w:divBdr>
                    <w:top w:val="none" w:sz="0" w:space="0" w:color="auto"/>
                    <w:left w:val="none" w:sz="0" w:space="0" w:color="auto"/>
                    <w:bottom w:val="none" w:sz="0" w:space="0" w:color="auto"/>
                    <w:right w:val="none" w:sz="0" w:space="0" w:color="auto"/>
                  </w:divBdr>
                </w:div>
              </w:divsChild>
            </w:div>
            <w:div w:id="1486244296">
              <w:marLeft w:val="0"/>
              <w:marRight w:val="0"/>
              <w:marTop w:val="0"/>
              <w:marBottom w:val="0"/>
              <w:divBdr>
                <w:top w:val="none" w:sz="0" w:space="0" w:color="auto"/>
                <w:left w:val="none" w:sz="0" w:space="0" w:color="auto"/>
                <w:bottom w:val="none" w:sz="0" w:space="0" w:color="auto"/>
                <w:right w:val="none" w:sz="0" w:space="0" w:color="auto"/>
              </w:divBdr>
              <w:divsChild>
                <w:div w:id="352803702">
                  <w:marLeft w:val="0"/>
                  <w:marRight w:val="0"/>
                  <w:marTop w:val="0"/>
                  <w:marBottom w:val="0"/>
                  <w:divBdr>
                    <w:top w:val="none" w:sz="0" w:space="0" w:color="auto"/>
                    <w:left w:val="none" w:sz="0" w:space="0" w:color="auto"/>
                    <w:bottom w:val="none" w:sz="0" w:space="0" w:color="auto"/>
                    <w:right w:val="none" w:sz="0" w:space="0" w:color="auto"/>
                  </w:divBdr>
                </w:div>
              </w:divsChild>
            </w:div>
            <w:div w:id="1533298993">
              <w:marLeft w:val="0"/>
              <w:marRight w:val="0"/>
              <w:marTop w:val="0"/>
              <w:marBottom w:val="0"/>
              <w:divBdr>
                <w:top w:val="none" w:sz="0" w:space="0" w:color="auto"/>
                <w:left w:val="none" w:sz="0" w:space="0" w:color="auto"/>
                <w:bottom w:val="none" w:sz="0" w:space="0" w:color="auto"/>
                <w:right w:val="none" w:sz="0" w:space="0" w:color="auto"/>
              </w:divBdr>
              <w:divsChild>
                <w:div w:id="2454604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47470578">
          <w:marLeft w:val="0"/>
          <w:marRight w:val="0"/>
          <w:marTop w:val="0"/>
          <w:marBottom w:val="0"/>
          <w:divBdr>
            <w:top w:val="none" w:sz="0" w:space="0" w:color="auto"/>
            <w:left w:val="none" w:sz="0" w:space="0" w:color="auto"/>
            <w:bottom w:val="none" w:sz="0" w:space="0" w:color="auto"/>
            <w:right w:val="none" w:sz="0" w:space="0" w:color="auto"/>
          </w:divBdr>
          <w:divsChild>
            <w:div w:id="1793867404">
              <w:marLeft w:val="0"/>
              <w:marRight w:val="0"/>
              <w:marTop w:val="0"/>
              <w:marBottom w:val="0"/>
              <w:divBdr>
                <w:top w:val="none" w:sz="0" w:space="0" w:color="auto"/>
                <w:left w:val="none" w:sz="0" w:space="0" w:color="auto"/>
                <w:bottom w:val="none" w:sz="0" w:space="0" w:color="auto"/>
                <w:right w:val="none" w:sz="0" w:space="0" w:color="auto"/>
              </w:divBdr>
              <w:divsChild>
                <w:div w:id="531651740">
                  <w:marLeft w:val="0"/>
                  <w:marRight w:val="0"/>
                  <w:marTop w:val="0"/>
                  <w:marBottom w:val="0"/>
                  <w:divBdr>
                    <w:top w:val="none" w:sz="0" w:space="0" w:color="auto"/>
                    <w:left w:val="none" w:sz="0" w:space="0" w:color="auto"/>
                    <w:bottom w:val="none" w:sz="0" w:space="0" w:color="auto"/>
                    <w:right w:val="none" w:sz="0" w:space="0" w:color="auto"/>
                  </w:divBdr>
                </w:div>
              </w:divsChild>
            </w:div>
            <w:div w:id="1953589806">
              <w:marLeft w:val="0"/>
              <w:marRight w:val="0"/>
              <w:marTop w:val="0"/>
              <w:marBottom w:val="0"/>
              <w:divBdr>
                <w:top w:val="none" w:sz="0" w:space="0" w:color="auto"/>
                <w:left w:val="none" w:sz="0" w:space="0" w:color="auto"/>
                <w:bottom w:val="none" w:sz="0" w:space="0" w:color="auto"/>
                <w:right w:val="none" w:sz="0" w:space="0" w:color="auto"/>
              </w:divBdr>
              <w:divsChild>
                <w:div w:id="773287123">
                  <w:marLeft w:val="0"/>
                  <w:marRight w:val="0"/>
                  <w:marTop w:val="0"/>
                  <w:marBottom w:val="0"/>
                  <w:divBdr>
                    <w:top w:val="none" w:sz="0" w:space="0" w:color="auto"/>
                    <w:left w:val="none" w:sz="0" w:space="0" w:color="auto"/>
                    <w:bottom w:val="none" w:sz="0" w:space="0" w:color="auto"/>
                    <w:right w:val="none" w:sz="0" w:space="0" w:color="auto"/>
                  </w:divBdr>
                </w:div>
              </w:divsChild>
            </w:div>
            <w:div w:id="1772622746">
              <w:marLeft w:val="0"/>
              <w:marRight w:val="0"/>
              <w:marTop w:val="0"/>
              <w:marBottom w:val="0"/>
              <w:divBdr>
                <w:top w:val="none" w:sz="0" w:space="0" w:color="auto"/>
                <w:left w:val="none" w:sz="0" w:space="0" w:color="auto"/>
                <w:bottom w:val="none" w:sz="0" w:space="0" w:color="auto"/>
                <w:right w:val="none" w:sz="0" w:space="0" w:color="auto"/>
              </w:divBdr>
              <w:divsChild>
                <w:div w:id="130369977">
                  <w:marLeft w:val="0"/>
                  <w:marRight w:val="0"/>
                  <w:marTop w:val="0"/>
                  <w:marBottom w:val="0"/>
                  <w:divBdr>
                    <w:top w:val="none" w:sz="0" w:space="0" w:color="auto"/>
                    <w:left w:val="none" w:sz="0" w:space="0" w:color="auto"/>
                    <w:bottom w:val="none" w:sz="0" w:space="0" w:color="auto"/>
                    <w:right w:val="none" w:sz="0" w:space="0" w:color="auto"/>
                  </w:divBdr>
                </w:div>
              </w:divsChild>
            </w:div>
            <w:div w:id="791245709">
              <w:marLeft w:val="0"/>
              <w:marRight w:val="0"/>
              <w:marTop w:val="0"/>
              <w:marBottom w:val="0"/>
              <w:divBdr>
                <w:top w:val="none" w:sz="0" w:space="0" w:color="auto"/>
                <w:left w:val="none" w:sz="0" w:space="0" w:color="auto"/>
                <w:bottom w:val="none" w:sz="0" w:space="0" w:color="auto"/>
                <w:right w:val="none" w:sz="0" w:space="0" w:color="auto"/>
              </w:divBdr>
              <w:divsChild>
                <w:div w:id="144781063">
                  <w:marLeft w:val="0"/>
                  <w:marRight w:val="0"/>
                  <w:marTop w:val="0"/>
                  <w:marBottom w:val="0"/>
                  <w:divBdr>
                    <w:top w:val="none" w:sz="0" w:space="0" w:color="auto"/>
                    <w:left w:val="none" w:sz="0" w:space="0" w:color="auto"/>
                    <w:bottom w:val="none" w:sz="0" w:space="0" w:color="auto"/>
                    <w:right w:val="none" w:sz="0" w:space="0" w:color="auto"/>
                  </w:divBdr>
                </w:div>
              </w:divsChild>
            </w:div>
            <w:div w:id="982586669">
              <w:marLeft w:val="0"/>
              <w:marRight w:val="0"/>
              <w:marTop w:val="0"/>
              <w:marBottom w:val="0"/>
              <w:divBdr>
                <w:top w:val="none" w:sz="0" w:space="0" w:color="auto"/>
                <w:left w:val="none" w:sz="0" w:space="0" w:color="auto"/>
                <w:bottom w:val="none" w:sz="0" w:space="0" w:color="auto"/>
                <w:right w:val="none" w:sz="0" w:space="0" w:color="auto"/>
              </w:divBdr>
              <w:divsChild>
                <w:div w:id="141309700">
                  <w:marLeft w:val="0"/>
                  <w:marRight w:val="0"/>
                  <w:marTop w:val="0"/>
                  <w:marBottom w:val="0"/>
                  <w:divBdr>
                    <w:top w:val="none" w:sz="0" w:space="0" w:color="auto"/>
                    <w:left w:val="none" w:sz="0" w:space="0" w:color="auto"/>
                    <w:bottom w:val="none" w:sz="0" w:space="0" w:color="auto"/>
                    <w:right w:val="none" w:sz="0" w:space="0" w:color="auto"/>
                  </w:divBdr>
                </w:div>
              </w:divsChild>
            </w:div>
            <w:div w:id="796491667">
              <w:marLeft w:val="0"/>
              <w:marRight w:val="0"/>
              <w:marTop w:val="0"/>
              <w:marBottom w:val="0"/>
              <w:divBdr>
                <w:top w:val="none" w:sz="0" w:space="0" w:color="auto"/>
                <w:left w:val="none" w:sz="0" w:space="0" w:color="auto"/>
                <w:bottom w:val="none" w:sz="0" w:space="0" w:color="auto"/>
                <w:right w:val="none" w:sz="0" w:space="0" w:color="auto"/>
              </w:divBdr>
              <w:divsChild>
                <w:div w:id="168297560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59901075">
      <w:bodyDiv w:val="1"/>
      <w:marLeft w:val="0"/>
      <w:marRight w:val="0"/>
      <w:marTop w:val="0"/>
      <w:marBottom w:val="0"/>
      <w:divBdr>
        <w:top w:val="none" w:sz="0" w:space="0" w:color="auto"/>
        <w:left w:val="none" w:sz="0" w:space="0" w:color="auto"/>
        <w:bottom w:val="none" w:sz="0" w:space="0" w:color="auto"/>
        <w:right w:val="none" w:sz="0" w:space="0" w:color="auto"/>
      </w:divBdr>
      <w:divsChild>
        <w:div w:id="627129973">
          <w:marLeft w:val="0"/>
          <w:marRight w:val="0"/>
          <w:marTop w:val="0"/>
          <w:marBottom w:val="0"/>
          <w:divBdr>
            <w:top w:val="none" w:sz="0" w:space="0" w:color="auto"/>
            <w:left w:val="none" w:sz="0" w:space="0" w:color="auto"/>
            <w:bottom w:val="none" w:sz="0" w:space="0" w:color="auto"/>
            <w:right w:val="none" w:sz="0" w:space="0" w:color="auto"/>
          </w:divBdr>
          <w:divsChild>
            <w:div w:id="1705397506">
              <w:marLeft w:val="0"/>
              <w:marRight w:val="0"/>
              <w:marTop w:val="0"/>
              <w:marBottom w:val="0"/>
              <w:divBdr>
                <w:top w:val="none" w:sz="0" w:space="0" w:color="auto"/>
                <w:left w:val="none" w:sz="0" w:space="0" w:color="auto"/>
                <w:bottom w:val="none" w:sz="0" w:space="0" w:color="auto"/>
                <w:right w:val="none" w:sz="0" w:space="0" w:color="auto"/>
              </w:divBdr>
              <w:divsChild>
                <w:div w:id="500126785">
                  <w:marLeft w:val="0"/>
                  <w:marRight w:val="0"/>
                  <w:marTop w:val="0"/>
                  <w:marBottom w:val="0"/>
                  <w:divBdr>
                    <w:top w:val="none" w:sz="0" w:space="0" w:color="auto"/>
                    <w:left w:val="none" w:sz="0" w:space="0" w:color="auto"/>
                    <w:bottom w:val="none" w:sz="0" w:space="0" w:color="auto"/>
                    <w:right w:val="none" w:sz="0" w:space="0" w:color="auto"/>
                  </w:divBdr>
                </w:div>
              </w:divsChild>
            </w:div>
            <w:div w:id="1712920361">
              <w:marLeft w:val="0"/>
              <w:marRight w:val="0"/>
              <w:marTop w:val="0"/>
              <w:marBottom w:val="0"/>
              <w:divBdr>
                <w:top w:val="none" w:sz="0" w:space="0" w:color="auto"/>
                <w:left w:val="none" w:sz="0" w:space="0" w:color="auto"/>
                <w:bottom w:val="none" w:sz="0" w:space="0" w:color="auto"/>
                <w:right w:val="none" w:sz="0" w:space="0" w:color="auto"/>
              </w:divBdr>
              <w:divsChild>
                <w:div w:id="1369145035">
                  <w:marLeft w:val="0"/>
                  <w:marRight w:val="0"/>
                  <w:marTop w:val="0"/>
                  <w:marBottom w:val="0"/>
                  <w:divBdr>
                    <w:top w:val="none" w:sz="0" w:space="0" w:color="auto"/>
                    <w:left w:val="none" w:sz="0" w:space="0" w:color="auto"/>
                    <w:bottom w:val="none" w:sz="0" w:space="0" w:color="auto"/>
                    <w:right w:val="none" w:sz="0" w:space="0" w:color="auto"/>
                  </w:divBdr>
                </w:div>
              </w:divsChild>
            </w:div>
            <w:div w:id="2024700795">
              <w:marLeft w:val="0"/>
              <w:marRight w:val="0"/>
              <w:marTop w:val="0"/>
              <w:marBottom w:val="0"/>
              <w:divBdr>
                <w:top w:val="none" w:sz="0" w:space="0" w:color="auto"/>
                <w:left w:val="none" w:sz="0" w:space="0" w:color="auto"/>
                <w:bottom w:val="none" w:sz="0" w:space="0" w:color="auto"/>
                <w:right w:val="none" w:sz="0" w:space="0" w:color="auto"/>
              </w:divBdr>
              <w:divsChild>
                <w:div w:id="436410616">
                  <w:marLeft w:val="0"/>
                  <w:marRight w:val="0"/>
                  <w:marTop w:val="0"/>
                  <w:marBottom w:val="0"/>
                  <w:divBdr>
                    <w:top w:val="none" w:sz="0" w:space="0" w:color="auto"/>
                    <w:left w:val="none" w:sz="0" w:space="0" w:color="auto"/>
                    <w:bottom w:val="none" w:sz="0" w:space="0" w:color="auto"/>
                    <w:right w:val="none" w:sz="0" w:space="0" w:color="auto"/>
                  </w:divBdr>
                </w:div>
              </w:divsChild>
            </w:div>
            <w:div w:id="6494032">
              <w:marLeft w:val="0"/>
              <w:marRight w:val="0"/>
              <w:marTop w:val="0"/>
              <w:marBottom w:val="0"/>
              <w:divBdr>
                <w:top w:val="none" w:sz="0" w:space="0" w:color="auto"/>
                <w:left w:val="none" w:sz="0" w:space="0" w:color="auto"/>
                <w:bottom w:val="none" w:sz="0" w:space="0" w:color="auto"/>
                <w:right w:val="none" w:sz="0" w:space="0" w:color="auto"/>
              </w:divBdr>
              <w:divsChild>
                <w:div w:id="1374040154">
                  <w:marLeft w:val="0"/>
                  <w:marRight w:val="0"/>
                  <w:marTop w:val="0"/>
                  <w:marBottom w:val="0"/>
                  <w:divBdr>
                    <w:top w:val="none" w:sz="0" w:space="0" w:color="auto"/>
                    <w:left w:val="none" w:sz="0" w:space="0" w:color="auto"/>
                    <w:bottom w:val="none" w:sz="0" w:space="0" w:color="auto"/>
                    <w:right w:val="none" w:sz="0" w:space="0" w:color="auto"/>
                  </w:divBdr>
                </w:div>
              </w:divsChild>
            </w:div>
            <w:div w:id="570652522">
              <w:marLeft w:val="0"/>
              <w:marRight w:val="0"/>
              <w:marTop w:val="0"/>
              <w:marBottom w:val="0"/>
              <w:divBdr>
                <w:top w:val="none" w:sz="0" w:space="0" w:color="auto"/>
                <w:left w:val="none" w:sz="0" w:space="0" w:color="auto"/>
                <w:bottom w:val="none" w:sz="0" w:space="0" w:color="auto"/>
                <w:right w:val="none" w:sz="0" w:space="0" w:color="auto"/>
              </w:divBdr>
              <w:divsChild>
                <w:div w:id="1956982311">
                  <w:marLeft w:val="0"/>
                  <w:marRight w:val="0"/>
                  <w:marTop w:val="0"/>
                  <w:marBottom w:val="0"/>
                  <w:divBdr>
                    <w:top w:val="none" w:sz="0" w:space="0" w:color="auto"/>
                    <w:left w:val="none" w:sz="0" w:space="0" w:color="auto"/>
                    <w:bottom w:val="none" w:sz="0" w:space="0" w:color="auto"/>
                    <w:right w:val="none" w:sz="0" w:space="0" w:color="auto"/>
                  </w:divBdr>
                </w:div>
              </w:divsChild>
            </w:div>
            <w:div w:id="233702710">
              <w:marLeft w:val="0"/>
              <w:marRight w:val="0"/>
              <w:marTop w:val="0"/>
              <w:marBottom w:val="0"/>
              <w:divBdr>
                <w:top w:val="none" w:sz="0" w:space="0" w:color="auto"/>
                <w:left w:val="none" w:sz="0" w:space="0" w:color="auto"/>
                <w:bottom w:val="none" w:sz="0" w:space="0" w:color="auto"/>
                <w:right w:val="none" w:sz="0" w:space="0" w:color="auto"/>
              </w:divBdr>
              <w:divsChild>
                <w:div w:id="1037048367">
                  <w:marLeft w:val="0"/>
                  <w:marRight w:val="0"/>
                  <w:marTop w:val="0"/>
                  <w:marBottom w:val="0"/>
                  <w:divBdr>
                    <w:top w:val="none" w:sz="0" w:space="0" w:color="auto"/>
                    <w:left w:val="none" w:sz="0" w:space="0" w:color="auto"/>
                    <w:bottom w:val="none" w:sz="0" w:space="0" w:color="auto"/>
                    <w:right w:val="none" w:sz="0" w:space="0" w:color="auto"/>
                  </w:divBdr>
                </w:div>
              </w:divsChild>
            </w:div>
            <w:div w:id="1880971902">
              <w:marLeft w:val="0"/>
              <w:marRight w:val="0"/>
              <w:marTop w:val="0"/>
              <w:marBottom w:val="0"/>
              <w:divBdr>
                <w:top w:val="none" w:sz="0" w:space="0" w:color="auto"/>
                <w:left w:val="none" w:sz="0" w:space="0" w:color="auto"/>
                <w:bottom w:val="none" w:sz="0" w:space="0" w:color="auto"/>
                <w:right w:val="none" w:sz="0" w:space="0" w:color="auto"/>
              </w:divBdr>
              <w:divsChild>
                <w:div w:id="20701100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6406964">
          <w:marLeft w:val="0"/>
          <w:marRight w:val="0"/>
          <w:marTop w:val="0"/>
          <w:marBottom w:val="0"/>
          <w:divBdr>
            <w:top w:val="none" w:sz="0" w:space="0" w:color="auto"/>
            <w:left w:val="none" w:sz="0" w:space="0" w:color="auto"/>
            <w:bottom w:val="none" w:sz="0" w:space="0" w:color="auto"/>
            <w:right w:val="none" w:sz="0" w:space="0" w:color="auto"/>
          </w:divBdr>
          <w:divsChild>
            <w:div w:id="532184078">
              <w:marLeft w:val="0"/>
              <w:marRight w:val="0"/>
              <w:marTop w:val="0"/>
              <w:marBottom w:val="0"/>
              <w:divBdr>
                <w:top w:val="none" w:sz="0" w:space="0" w:color="auto"/>
                <w:left w:val="none" w:sz="0" w:space="0" w:color="auto"/>
                <w:bottom w:val="none" w:sz="0" w:space="0" w:color="auto"/>
                <w:right w:val="none" w:sz="0" w:space="0" w:color="auto"/>
              </w:divBdr>
              <w:divsChild>
                <w:div w:id="51527168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61214465">
      <w:bodyDiv w:val="1"/>
      <w:marLeft w:val="0"/>
      <w:marRight w:val="0"/>
      <w:marTop w:val="0"/>
      <w:marBottom w:val="0"/>
      <w:divBdr>
        <w:top w:val="none" w:sz="0" w:space="0" w:color="auto"/>
        <w:left w:val="none" w:sz="0" w:space="0" w:color="auto"/>
        <w:bottom w:val="none" w:sz="0" w:space="0" w:color="auto"/>
        <w:right w:val="none" w:sz="0" w:space="0" w:color="auto"/>
      </w:divBdr>
      <w:divsChild>
        <w:div w:id="33164701">
          <w:marLeft w:val="0"/>
          <w:marRight w:val="0"/>
          <w:marTop w:val="0"/>
          <w:marBottom w:val="0"/>
          <w:divBdr>
            <w:top w:val="none" w:sz="0" w:space="0" w:color="auto"/>
            <w:left w:val="none" w:sz="0" w:space="0" w:color="auto"/>
            <w:bottom w:val="none" w:sz="0" w:space="0" w:color="auto"/>
            <w:right w:val="none" w:sz="0" w:space="0" w:color="auto"/>
          </w:divBdr>
          <w:divsChild>
            <w:div w:id="856425405">
              <w:marLeft w:val="0"/>
              <w:marRight w:val="0"/>
              <w:marTop w:val="0"/>
              <w:marBottom w:val="0"/>
              <w:divBdr>
                <w:top w:val="none" w:sz="0" w:space="0" w:color="auto"/>
                <w:left w:val="none" w:sz="0" w:space="0" w:color="auto"/>
                <w:bottom w:val="none" w:sz="0" w:space="0" w:color="auto"/>
                <w:right w:val="none" w:sz="0" w:space="0" w:color="auto"/>
              </w:divBdr>
              <w:divsChild>
                <w:div w:id="12270246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02992308">
      <w:bodyDiv w:val="1"/>
      <w:marLeft w:val="0"/>
      <w:marRight w:val="0"/>
      <w:marTop w:val="0"/>
      <w:marBottom w:val="0"/>
      <w:divBdr>
        <w:top w:val="none" w:sz="0" w:space="0" w:color="auto"/>
        <w:left w:val="none" w:sz="0" w:space="0" w:color="auto"/>
        <w:bottom w:val="none" w:sz="0" w:space="0" w:color="auto"/>
        <w:right w:val="none" w:sz="0" w:space="0" w:color="auto"/>
      </w:divBdr>
    </w:div>
    <w:div w:id="2037123419">
      <w:bodyDiv w:val="1"/>
      <w:marLeft w:val="0"/>
      <w:marRight w:val="0"/>
      <w:marTop w:val="0"/>
      <w:marBottom w:val="0"/>
      <w:divBdr>
        <w:top w:val="none" w:sz="0" w:space="0" w:color="auto"/>
        <w:left w:val="none" w:sz="0" w:space="0" w:color="auto"/>
        <w:bottom w:val="none" w:sz="0" w:space="0" w:color="auto"/>
        <w:right w:val="none" w:sz="0" w:space="0" w:color="auto"/>
      </w:divBdr>
    </w:div>
    <w:div w:id="21046431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7DB3DA42-BA8A-2945-BFD7-B562951B323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5</Pages>
  <Words>1893</Words>
  <Characters>12459</Characters>
  <Application>Microsoft Office Word</Application>
  <DocSecurity>0</DocSecurity>
  <Lines>207</Lines>
  <Paragraphs>32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14320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Geraldine GIRAUDEAU</dc:creator>
  <cp:keywords/>
  <dc:description/>
  <cp:lastModifiedBy>Géraldine Giraudeau</cp:lastModifiedBy>
  <cp:revision>3</cp:revision>
  <cp:lastPrinted>2022-03-26T08:38:00Z</cp:lastPrinted>
  <dcterms:created xsi:type="dcterms:W3CDTF">2022-12-06T16:47:00Z</dcterms:created>
  <dcterms:modified xsi:type="dcterms:W3CDTF">2022-12-06T16:48:00Z</dcterms:modified>
</cp:coreProperties>
</file>